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keepNext w:val="true"/>
        <w:keepLines w:val="true"/>
        <w:spacing w:before="480" w:after="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Maine Laws Regarding Public Bodies Holding Executive Sessions for Personnel Matters</w:t>
      </w:r>
    </w:p>
    <w:p>
      <w:pPr>
        <w:spacing w:before="0" w:after="200" w:line="276"/>
        <w:ind w:right="0" w:left="0" w:firstLine="0"/>
        <w:jc w:val="left"/>
        <w:rPr>
          <w:rFonts w:ascii="Cambria" w:hAnsi="Cambria" w:cs="Cambria" w:eastAsia="Cambria"/>
          <w:color w:val="auto"/>
          <w:spacing w:val="0"/>
          <w:position w:val="0"/>
          <w:sz w:val="22"/>
          <w:shd w:fill="auto" w:val="clear"/>
        </w:rPr>
      </w:pPr>
      <w:r>
        <w:rPr>
          <w:rFonts w:ascii="Cambria" w:hAnsi="Cambria" w:cs="Cambria" w:eastAsia="Cambria"/>
          <w:color w:val="auto"/>
          <w:spacing w:val="0"/>
          <w:position w:val="0"/>
          <w:sz w:val="22"/>
          <w:shd w:fill="auto" w:val="clear"/>
        </w:rPr>
        <w:br/>
        <w:t xml:space="preserve">In Maine, public bodies (including select boards, planning boards, school boards, and municipal committees) may meet in executive session for personnel matters, but only under very specific conditions set out in the Maine Freedom of Access Act (FOAA), 1 M.R.S. §405.</w:t>
        <w:br/>
        <w:br/>
        <w:t xml:space="preserve">When a Personnel Executive Session Is Allowed</w:t>
        <w:br/>
        <w:br/>
        <w:t xml:space="preserve">A public body may enter executive session to discuss:</w:t>
        <w:br/>
      </w:r>
      <w:r>
        <w:rPr>
          <w:rFonts w:ascii="Cambria" w:hAnsi="Cambria" w:cs="Cambria" w:eastAsia="Cambria"/>
          <w:color w:val="auto"/>
          <w:spacing w:val="0"/>
          <w:position w:val="0"/>
          <w:sz w:val="22"/>
          <w:shd w:fill="auto" w:val="clear"/>
        </w:rPr>
        <w:t xml:space="preserve">•</w:t>
      </w:r>
      <w:r>
        <w:rPr>
          <w:rFonts w:ascii="Cambria" w:hAnsi="Cambria" w:cs="Cambria" w:eastAsia="Cambria"/>
          <w:color w:val="auto"/>
          <w:spacing w:val="0"/>
          <w:position w:val="0"/>
          <w:sz w:val="22"/>
          <w:shd w:fill="auto" w:val="clear"/>
        </w:rPr>
        <w:t xml:space="preserve"> Employment or hiring of an individual</w:t>
        <w:br/>
      </w:r>
      <w:r>
        <w:rPr>
          <w:rFonts w:ascii="Cambria" w:hAnsi="Cambria" w:cs="Cambria" w:eastAsia="Cambria"/>
          <w:color w:val="auto"/>
          <w:spacing w:val="0"/>
          <w:position w:val="0"/>
          <w:sz w:val="22"/>
          <w:shd w:fill="auto" w:val="clear"/>
        </w:rPr>
        <w:t xml:space="preserve">•</w:t>
      </w:r>
      <w:r>
        <w:rPr>
          <w:rFonts w:ascii="Cambria" w:hAnsi="Cambria" w:cs="Cambria" w:eastAsia="Cambria"/>
          <w:color w:val="auto"/>
          <w:spacing w:val="0"/>
          <w:position w:val="0"/>
          <w:sz w:val="22"/>
          <w:shd w:fill="auto" w:val="clear"/>
        </w:rPr>
        <w:t xml:space="preserve"> Appointment or assignment of duties</w:t>
        <w:br/>
      </w:r>
      <w:r>
        <w:rPr>
          <w:rFonts w:ascii="Cambria" w:hAnsi="Cambria" w:cs="Cambria" w:eastAsia="Cambria"/>
          <w:color w:val="auto"/>
          <w:spacing w:val="0"/>
          <w:position w:val="0"/>
          <w:sz w:val="22"/>
          <w:shd w:fill="auto" w:val="clear"/>
        </w:rPr>
        <w:t xml:space="preserve">•</w:t>
      </w:r>
      <w:r>
        <w:rPr>
          <w:rFonts w:ascii="Cambria" w:hAnsi="Cambria" w:cs="Cambria" w:eastAsia="Cambria"/>
          <w:color w:val="auto"/>
          <w:spacing w:val="0"/>
          <w:position w:val="0"/>
          <w:sz w:val="22"/>
          <w:shd w:fill="auto" w:val="clear"/>
        </w:rPr>
        <w:t xml:space="preserve"> Promotion or demotion</w:t>
        <w:br/>
      </w:r>
      <w:r>
        <w:rPr>
          <w:rFonts w:ascii="Cambria" w:hAnsi="Cambria" w:cs="Cambria" w:eastAsia="Cambria"/>
          <w:color w:val="auto"/>
          <w:spacing w:val="0"/>
          <w:position w:val="0"/>
          <w:sz w:val="22"/>
          <w:shd w:fill="auto" w:val="clear"/>
        </w:rPr>
        <w:t xml:space="preserve">•</w:t>
      </w:r>
      <w:r>
        <w:rPr>
          <w:rFonts w:ascii="Cambria" w:hAnsi="Cambria" w:cs="Cambria" w:eastAsia="Cambria"/>
          <w:color w:val="auto"/>
          <w:spacing w:val="0"/>
          <w:position w:val="0"/>
          <w:sz w:val="22"/>
          <w:shd w:fill="auto" w:val="clear"/>
        </w:rPr>
        <w:t xml:space="preserve"> Compensation</w:t>
        <w:br/>
      </w:r>
      <w:r>
        <w:rPr>
          <w:rFonts w:ascii="Cambria" w:hAnsi="Cambria" w:cs="Cambria" w:eastAsia="Cambria"/>
          <w:color w:val="auto"/>
          <w:spacing w:val="0"/>
          <w:position w:val="0"/>
          <w:sz w:val="22"/>
          <w:shd w:fill="auto" w:val="clear"/>
        </w:rPr>
        <w:t xml:space="preserve">•</w:t>
      </w:r>
      <w:r>
        <w:rPr>
          <w:rFonts w:ascii="Cambria" w:hAnsi="Cambria" w:cs="Cambria" w:eastAsia="Cambria"/>
          <w:color w:val="auto"/>
          <w:spacing w:val="0"/>
          <w:position w:val="0"/>
          <w:sz w:val="22"/>
          <w:shd w:fill="auto" w:val="clear"/>
        </w:rPr>
        <w:t xml:space="preserve"> Performance evaluations</w:t>
        <w:br/>
      </w:r>
      <w:r>
        <w:rPr>
          <w:rFonts w:ascii="Cambria" w:hAnsi="Cambria" w:cs="Cambria" w:eastAsia="Cambria"/>
          <w:color w:val="auto"/>
          <w:spacing w:val="0"/>
          <w:position w:val="0"/>
          <w:sz w:val="22"/>
          <w:shd w:fill="auto" w:val="clear"/>
        </w:rPr>
        <w:t xml:space="preserve">•</w:t>
      </w:r>
      <w:r>
        <w:rPr>
          <w:rFonts w:ascii="Cambria" w:hAnsi="Cambria" w:cs="Cambria" w:eastAsia="Cambria"/>
          <w:color w:val="auto"/>
          <w:spacing w:val="0"/>
          <w:position w:val="0"/>
          <w:sz w:val="22"/>
          <w:shd w:fill="auto" w:val="clear"/>
        </w:rPr>
        <w:t xml:space="preserve"> Discipline</w:t>
        <w:br/>
      </w:r>
      <w:r>
        <w:rPr>
          <w:rFonts w:ascii="Cambria" w:hAnsi="Cambria" w:cs="Cambria" w:eastAsia="Cambria"/>
          <w:color w:val="auto"/>
          <w:spacing w:val="0"/>
          <w:position w:val="0"/>
          <w:sz w:val="22"/>
          <w:shd w:fill="auto" w:val="clear"/>
        </w:rPr>
        <w:t xml:space="preserve">•</w:t>
      </w:r>
      <w:r>
        <w:rPr>
          <w:rFonts w:ascii="Cambria" w:hAnsi="Cambria" w:cs="Cambria" w:eastAsia="Cambria"/>
          <w:color w:val="auto"/>
          <w:spacing w:val="0"/>
          <w:position w:val="0"/>
          <w:sz w:val="22"/>
          <w:shd w:fill="auto" w:val="clear"/>
        </w:rPr>
        <w:t xml:space="preserve"> Resignation</w:t>
        <w:br/>
      </w:r>
      <w:r>
        <w:rPr>
          <w:rFonts w:ascii="Cambria" w:hAnsi="Cambria" w:cs="Cambria" w:eastAsia="Cambria"/>
          <w:color w:val="auto"/>
          <w:spacing w:val="0"/>
          <w:position w:val="0"/>
          <w:sz w:val="22"/>
          <w:shd w:fill="auto" w:val="clear"/>
        </w:rPr>
        <w:t xml:space="preserve">•</w:t>
      </w:r>
      <w:r>
        <w:rPr>
          <w:rFonts w:ascii="Cambria" w:hAnsi="Cambria" w:cs="Cambria" w:eastAsia="Cambria"/>
          <w:color w:val="auto"/>
          <w:spacing w:val="0"/>
          <w:position w:val="0"/>
          <w:sz w:val="22"/>
          <w:shd w:fill="auto" w:val="clear"/>
        </w:rPr>
        <w:t xml:space="preserve"> Dismissal</w:t>
        <w:br/>
      </w:r>
      <w:r>
        <w:rPr>
          <w:rFonts w:ascii="Cambria" w:hAnsi="Cambria" w:cs="Cambria" w:eastAsia="Cambria"/>
          <w:color w:val="auto"/>
          <w:spacing w:val="0"/>
          <w:position w:val="0"/>
          <w:sz w:val="22"/>
          <w:shd w:fill="auto" w:val="clear"/>
        </w:rPr>
        <w:t xml:space="preserve">•</w:t>
      </w:r>
      <w:r>
        <w:rPr>
          <w:rFonts w:ascii="Cambria" w:hAnsi="Cambria" w:cs="Cambria" w:eastAsia="Cambria"/>
          <w:color w:val="auto"/>
          <w:spacing w:val="0"/>
          <w:position w:val="0"/>
          <w:sz w:val="22"/>
          <w:shd w:fill="auto" w:val="clear"/>
        </w:rPr>
        <w:t xml:space="preserve"> Investigation of complaints or charges against an employee or official</w:t>
        <w:br/>
        <w:br/>
        <w:t xml:space="preserve">However, the discussion may be closed only if public discussion could reasonably be expected to:</w:t>
        <w:br/>
        <w:t xml:space="preserve">1. Damage the individual's reputation, or</w:t>
        <w:br/>
        <w:t xml:space="preserve">2. Violate the individual's privacy rights.</w:t>
        <w:br/>
        <w:br/>
        <w:t xml:space="preserve">Required Procedure</w:t>
        <w:br/>
        <w:br/>
        <w:t xml:space="preserve">Before entering executive session, the board must:</w:t>
        <w:br/>
        <w:t xml:space="preserve">1. Be in a properly noticed public meeting.</w:t>
        <w:br/>
        <w:t xml:space="preserve">2. Make a motion stating the precise reason for the executive session.</w:t>
        <w:br/>
        <w:t xml:space="preserve">3. Cite the statutory authority (typically 1 M.R.S. §405(6)(A)).</w:t>
        <w:br/>
        <w:t xml:space="preserve">4. Obtain a recorded vote of at least 3/5 of the members present and voting.</w:t>
        <w:br/>
        <w:br/>
        <w:t xml:space="preserve">Example motion:</w:t>
        <w:br/>
        <w:t xml:space="preserve">"I move that the Board enter executive session pursuant to 1 M.R.S. §405(6)(A) to discuss the performance evaluation of the Town Manager."</w:t>
        <w:br/>
        <w:br/>
        <w:t xml:space="preserve">Important Limitations</w:t>
        <w:br/>
        <w:br/>
        <w:t xml:space="preserve">A board cannot:</w:t>
        <w:br/>
      </w:r>
      <w:r>
        <w:rPr>
          <w:rFonts w:ascii="Cambria" w:hAnsi="Cambria" w:cs="Cambria" w:eastAsia="Cambria"/>
          <w:color w:val="auto"/>
          <w:spacing w:val="0"/>
          <w:position w:val="0"/>
          <w:sz w:val="22"/>
          <w:shd w:fill="auto" w:val="clear"/>
        </w:rPr>
        <w:t xml:space="preserve">•</w:t>
      </w:r>
      <w:r>
        <w:rPr>
          <w:rFonts w:ascii="Cambria" w:hAnsi="Cambria" w:cs="Cambria" w:eastAsia="Cambria"/>
          <w:color w:val="auto"/>
          <w:spacing w:val="0"/>
          <w:position w:val="0"/>
          <w:sz w:val="22"/>
          <w:shd w:fill="auto" w:val="clear"/>
        </w:rPr>
        <w:t xml:space="preserve"> Use executive session to discuss matters unrelated to the stated purpose.</w:t>
        <w:br/>
      </w:r>
      <w:r>
        <w:rPr>
          <w:rFonts w:ascii="Cambria" w:hAnsi="Cambria" w:cs="Cambria" w:eastAsia="Cambria"/>
          <w:color w:val="auto"/>
          <w:spacing w:val="0"/>
          <w:position w:val="0"/>
          <w:sz w:val="22"/>
          <w:shd w:fill="auto" w:val="clear"/>
        </w:rPr>
        <w:t xml:space="preserve">•</w:t>
      </w:r>
      <w:r>
        <w:rPr>
          <w:rFonts w:ascii="Cambria" w:hAnsi="Cambria" w:cs="Cambria" w:eastAsia="Cambria"/>
          <w:color w:val="auto"/>
          <w:spacing w:val="0"/>
          <w:position w:val="0"/>
          <w:sz w:val="22"/>
          <w:shd w:fill="auto" w:val="clear"/>
        </w:rPr>
        <w:t xml:space="preserve"> Take final action, vote, or make a binding decision in executive session.</w:t>
        <w:br/>
      </w:r>
      <w:r>
        <w:rPr>
          <w:rFonts w:ascii="Cambria" w:hAnsi="Cambria" w:cs="Cambria" w:eastAsia="Cambria"/>
          <w:color w:val="auto"/>
          <w:spacing w:val="0"/>
          <w:position w:val="0"/>
          <w:sz w:val="22"/>
          <w:shd w:fill="auto" w:val="clear"/>
        </w:rPr>
        <w:t xml:space="preserve">•</w:t>
      </w:r>
      <w:r>
        <w:rPr>
          <w:rFonts w:ascii="Cambria" w:hAnsi="Cambria" w:cs="Cambria" w:eastAsia="Cambria"/>
          <w:color w:val="auto"/>
          <w:spacing w:val="0"/>
          <w:position w:val="0"/>
          <w:sz w:val="22"/>
          <w:shd w:fill="auto" w:val="clear"/>
        </w:rPr>
        <w:t xml:space="preserve"> Use executive session simply because a topic is uncomfortable or controversial.</w:t>
        <w:br/>
        <w:br/>
        <w:t xml:space="preserve">Any final vote to hire, fire, appoint, or otherwise act must occur in open session.</w:t>
        <w:br/>
        <w:br/>
        <w:t xml:space="preserve">Rights of the Employee or Official</w:t>
        <w:br/>
        <w:br/>
        <w:t xml:space="preserve">If the executive session involves charges or complaints against a person:</w:t>
        <w:br/>
      </w:r>
      <w:r>
        <w:rPr>
          <w:rFonts w:ascii="Cambria" w:hAnsi="Cambria" w:cs="Cambria" w:eastAsia="Cambria"/>
          <w:color w:val="auto"/>
          <w:spacing w:val="0"/>
          <w:position w:val="0"/>
          <w:sz w:val="22"/>
          <w:shd w:fill="auto" w:val="clear"/>
        </w:rPr>
        <w:t xml:space="preserve">•</w:t>
      </w:r>
      <w:r>
        <w:rPr>
          <w:rFonts w:ascii="Cambria" w:hAnsi="Cambria" w:cs="Cambria" w:eastAsia="Cambria"/>
          <w:color w:val="auto"/>
          <w:spacing w:val="0"/>
          <w:position w:val="0"/>
          <w:sz w:val="22"/>
          <w:shd w:fill="auto" w:val="clear"/>
        </w:rPr>
        <w:t xml:space="preserve"> The person being investigated has the right to attend the executive session if they wish.</w:t>
        <w:br/>
      </w:r>
      <w:r>
        <w:rPr>
          <w:rFonts w:ascii="Cambria" w:hAnsi="Cambria" w:cs="Cambria" w:eastAsia="Cambria"/>
          <w:color w:val="auto"/>
          <w:spacing w:val="0"/>
          <w:position w:val="0"/>
          <w:sz w:val="22"/>
          <w:shd w:fill="auto" w:val="clear"/>
        </w:rPr>
        <w:t xml:space="preserve">•</w:t>
      </w:r>
      <w:r>
        <w:rPr>
          <w:rFonts w:ascii="Cambria" w:hAnsi="Cambria" w:cs="Cambria" w:eastAsia="Cambria"/>
          <w:color w:val="auto"/>
          <w:spacing w:val="0"/>
          <w:position w:val="0"/>
          <w:sz w:val="22"/>
          <w:shd w:fill="auto" w:val="clear"/>
        </w:rPr>
        <w:t xml:space="preserve"> The person may request in writing that the matter be heard in open session, and the board must honor that request.</w:t>
        <w:br/>
      </w:r>
      <w:r>
        <w:rPr>
          <w:rFonts w:ascii="Cambria" w:hAnsi="Cambria" w:cs="Cambria" w:eastAsia="Cambria"/>
          <w:color w:val="auto"/>
          <w:spacing w:val="0"/>
          <w:position w:val="0"/>
          <w:sz w:val="22"/>
          <w:shd w:fill="auto" w:val="clear"/>
        </w:rPr>
        <w:t xml:space="preserve">•</w:t>
      </w:r>
      <w:r>
        <w:rPr>
          <w:rFonts w:ascii="Cambria" w:hAnsi="Cambria" w:cs="Cambria" w:eastAsia="Cambria"/>
          <w:color w:val="auto"/>
          <w:spacing w:val="0"/>
          <w:position w:val="0"/>
          <w:sz w:val="22"/>
          <w:shd w:fill="auto" w:val="clear"/>
        </w:rPr>
        <w:t xml:space="preserve"> Anyone making the allegations must also be allowed to attend.</w:t>
        <w:br/>
        <w:br/>
        <w:t xml:space="preserve">Common Violations Seen in Municipal Government</w:t>
        <w:br/>
        <w:br/>
        <w:t xml:space="preserve">Examples may include:</w:t>
        <w:br/>
      </w:r>
      <w:r>
        <w:rPr>
          <w:rFonts w:ascii="Cambria" w:hAnsi="Cambria" w:cs="Cambria" w:eastAsia="Cambria"/>
          <w:color w:val="auto"/>
          <w:spacing w:val="0"/>
          <w:position w:val="0"/>
          <w:sz w:val="22"/>
          <w:shd w:fill="auto" w:val="clear"/>
        </w:rPr>
        <w:t xml:space="preserve">•</w:t>
      </w:r>
      <w:r>
        <w:rPr>
          <w:rFonts w:ascii="Cambria" w:hAnsi="Cambria" w:cs="Cambria" w:eastAsia="Cambria"/>
          <w:color w:val="auto"/>
          <w:spacing w:val="0"/>
          <w:position w:val="0"/>
          <w:sz w:val="22"/>
          <w:shd w:fill="auto" w:val="clear"/>
        </w:rPr>
        <w:t xml:space="preserve"> Discussing a town-wide staffing reorganization in executive session when no individual's privacy is at stake.</w:t>
        <w:br/>
      </w:r>
      <w:r>
        <w:rPr>
          <w:rFonts w:ascii="Cambria" w:hAnsi="Cambria" w:cs="Cambria" w:eastAsia="Cambria"/>
          <w:color w:val="auto"/>
          <w:spacing w:val="0"/>
          <w:position w:val="0"/>
          <w:sz w:val="22"/>
          <w:shd w:fill="auto" w:val="clear"/>
        </w:rPr>
        <w:t xml:space="preserve">•</w:t>
      </w:r>
      <w:r>
        <w:rPr>
          <w:rFonts w:ascii="Cambria" w:hAnsi="Cambria" w:cs="Cambria" w:eastAsia="Cambria"/>
          <w:color w:val="auto"/>
          <w:spacing w:val="0"/>
          <w:position w:val="0"/>
          <w:sz w:val="22"/>
          <w:shd w:fill="auto" w:val="clear"/>
        </w:rPr>
        <w:t xml:space="preserve"> Discussing budget reductions affecting employees as a group rather than evaluating specific individuals.</w:t>
        <w:br/>
      </w:r>
      <w:r>
        <w:rPr>
          <w:rFonts w:ascii="Cambria" w:hAnsi="Cambria" w:cs="Cambria" w:eastAsia="Cambria"/>
          <w:color w:val="auto"/>
          <w:spacing w:val="0"/>
          <w:position w:val="0"/>
          <w:sz w:val="22"/>
          <w:shd w:fill="auto" w:val="clear"/>
        </w:rPr>
        <w:t xml:space="preserve">•</w:t>
      </w:r>
      <w:r>
        <w:rPr>
          <w:rFonts w:ascii="Cambria" w:hAnsi="Cambria" w:cs="Cambria" w:eastAsia="Cambria"/>
          <w:color w:val="auto"/>
          <w:spacing w:val="0"/>
          <w:position w:val="0"/>
          <w:sz w:val="22"/>
          <w:shd w:fill="auto" w:val="clear"/>
        </w:rPr>
        <w:t xml:space="preserve"> Voting in executive session to terminate an employee.</w:t>
        <w:br/>
      </w:r>
      <w:r>
        <w:rPr>
          <w:rFonts w:ascii="Cambria" w:hAnsi="Cambria" w:cs="Cambria" w:eastAsia="Cambria"/>
          <w:color w:val="auto"/>
          <w:spacing w:val="0"/>
          <w:position w:val="0"/>
          <w:sz w:val="22"/>
          <w:shd w:fill="auto" w:val="clear"/>
        </w:rPr>
        <w:t xml:space="preserve">•</w:t>
      </w:r>
      <w:r>
        <w:rPr>
          <w:rFonts w:ascii="Cambria" w:hAnsi="Cambria" w:cs="Cambria" w:eastAsia="Cambria"/>
          <w:color w:val="auto"/>
          <w:spacing w:val="0"/>
          <w:position w:val="0"/>
          <w:sz w:val="22"/>
          <w:shd w:fill="auto" w:val="clear"/>
        </w:rPr>
        <w:t xml:space="preserve"> Entering executive session under "personnel" and then discussing unrelated town business.</w:t>
        <w:br/>
        <w:br/>
        <w:t xml:space="preserve">For a Maine Select Board</w:t>
        <w:br/>
        <w:br/>
        <w:t xml:space="preserve">A select board may generally meet in executive session to evaluate or discuss the performance, discipline, compensation, resignation, or possible dismissal of a Town Manager, Code Enforcement Officer, Road Commissioner, or other municipal employee if the privacy/reputation standard is met. The board must return to open session before taking any official action.</w:t>
        <w:br/>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