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C9F57" w14:textId="77777777" w:rsidR="00BE2FE7" w:rsidRPr="000B6BE3" w:rsidRDefault="00BE2FE7" w:rsidP="00BE2FE7">
      <w:pPr>
        <w:rPr>
          <w:b/>
          <w:bCs/>
        </w:rPr>
      </w:pPr>
      <w:r w:rsidRPr="000B6BE3">
        <w:rPr>
          <w:b/>
          <w:bCs/>
        </w:rPr>
        <w:t>Questions for Laura Paye, DEP Hydropower Coordinator</w:t>
      </w:r>
    </w:p>
    <w:p w14:paraId="1B39CD8F" w14:textId="77777777" w:rsidR="00BE2FE7" w:rsidRDefault="00BE2FE7" w:rsidP="00BE2FE7">
      <w:pPr>
        <w:pStyle w:val="ListParagraph"/>
        <w:numPr>
          <w:ilvl w:val="0"/>
          <w:numId w:val="4"/>
        </w:numPr>
        <w:ind w:left="360"/>
      </w:pPr>
      <w:r>
        <w:t>The powerhouse and its spillway are within the FERC project boundary, but Brookfield does not plan to remove it or provide a bond as part of the decommissioning plan.  What project features do DEP expect to see as part of the decommissioning plan?</w:t>
      </w:r>
    </w:p>
    <w:p w14:paraId="138FB1A8" w14:textId="77777777" w:rsidR="00BE2FE7" w:rsidRDefault="00BE2FE7" w:rsidP="00BE2FE7">
      <w:pPr>
        <w:pStyle w:val="ListParagraph"/>
        <w:numPr>
          <w:ilvl w:val="0"/>
          <w:numId w:val="4"/>
        </w:numPr>
        <w:ind w:left="360"/>
      </w:pPr>
      <w:r>
        <w:t>Does FERC normally require the removal of the turbines and generators?</w:t>
      </w:r>
    </w:p>
    <w:p w14:paraId="0A9F312F" w14:textId="77777777" w:rsidR="00BE2FE7" w:rsidRDefault="00BE2FE7" w:rsidP="00BE2FE7">
      <w:pPr>
        <w:pStyle w:val="ListParagraph"/>
        <w:numPr>
          <w:ilvl w:val="0"/>
          <w:numId w:val="4"/>
        </w:numPr>
        <w:ind w:left="360"/>
      </w:pPr>
      <w:r>
        <w:t>Brookfield plans to leave the concrete powerhouse and use concrete rubble from the dam for shoreline stabilization.  What are the impacts to aquatic life and water quality that might occur from aging concrete left in a water body?</w:t>
      </w:r>
    </w:p>
    <w:p w14:paraId="182E7F90" w14:textId="77777777" w:rsidR="00BE2FE7" w:rsidRDefault="00BE2FE7" w:rsidP="00BE2FE7">
      <w:pPr>
        <w:pStyle w:val="ListParagraph"/>
        <w:numPr>
          <w:ilvl w:val="0"/>
          <w:numId w:val="4"/>
        </w:numPr>
        <w:ind w:left="360"/>
      </w:pPr>
      <w:r>
        <w:t>Do powerhouses typically have a history of hazardous chemical or petroleum spills?</w:t>
      </w:r>
    </w:p>
    <w:p w14:paraId="22980914" w14:textId="77777777" w:rsidR="00BE2FE7" w:rsidRDefault="00BE2FE7">
      <w:pPr>
        <w:rPr>
          <w:b/>
          <w:bCs/>
        </w:rPr>
      </w:pPr>
    </w:p>
    <w:p w14:paraId="05328AEC" w14:textId="4AE08696" w:rsidR="006827A4" w:rsidRPr="000B6BE3" w:rsidRDefault="006827A4">
      <w:pPr>
        <w:rPr>
          <w:b/>
          <w:bCs/>
        </w:rPr>
      </w:pPr>
      <w:r w:rsidRPr="000B6BE3">
        <w:rPr>
          <w:b/>
          <w:bCs/>
        </w:rPr>
        <w:t>Question</w:t>
      </w:r>
      <w:r w:rsidR="000B6BE3" w:rsidRPr="000B6BE3">
        <w:rPr>
          <w:b/>
          <w:bCs/>
        </w:rPr>
        <w:t>s</w:t>
      </w:r>
      <w:r w:rsidRPr="000B6BE3">
        <w:rPr>
          <w:b/>
          <w:bCs/>
        </w:rPr>
        <w:t xml:space="preserve"> for </w:t>
      </w:r>
      <w:r w:rsidR="000B6BE3" w:rsidRPr="000B6BE3">
        <w:rPr>
          <w:b/>
          <w:bCs/>
        </w:rPr>
        <w:t xml:space="preserve">Kelly Catlett, </w:t>
      </w:r>
      <w:r w:rsidRPr="000B6BE3">
        <w:rPr>
          <w:b/>
          <w:bCs/>
        </w:rPr>
        <w:t>American Rivers attorney</w:t>
      </w:r>
      <w:r w:rsidR="000B6BE3" w:rsidRPr="000B6BE3">
        <w:rPr>
          <w:b/>
          <w:bCs/>
        </w:rPr>
        <w:t xml:space="preserve"> </w:t>
      </w:r>
    </w:p>
    <w:p w14:paraId="7FC04175" w14:textId="3A930DB8" w:rsidR="006827A4" w:rsidRDefault="006827A4" w:rsidP="00651ACB">
      <w:pPr>
        <w:pStyle w:val="ListParagraph"/>
        <w:numPr>
          <w:ilvl w:val="0"/>
          <w:numId w:val="2"/>
        </w:numPr>
        <w:ind w:left="360"/>
      </w:pPr>
      <w:r>
        <w:t xml:space="preserve">The powerhouse </w:t>
      </w:r>
      <w:r w:rsidR="00DF103F">
        <w:t>is</w:t>
      </w:r>
      <w:r>
        <w:t xml:space="preserve"> within the FERC project boundary, </w:t>
      </w:r>
      <w:r w:rsidR="00D10E86">
        <w:t xml:space="preserve">but Brookfield does not plan to remove it or provide a bond as part of the decommissioning plan.  </w:t>
      </w:r>
      <w:r>
        <w:t xml:space="preserve">How </w:t>
      </w:r>
      <w:r w:rsidR="00BF5F0C">
        <w:t>would you</w:t>
      </w:r>
      <w:r>
        <w:t xml:space="preserve"> argue that </w:t>
      </w:r>
      <w:r w:rsidR="00DF103F">
        <w:t>it</w:t>
      </w:r>
      <w:r>
        <w:t xml:space="preserve"> be included in the decommissioning plan and eventually FERC’s environmental assessment?</w:t>
      </w:r>
    </w:p>
    <w:p w14:paraId="72A2FF0B" w14:textId="36C24533" w:rsidR="004A4BA2" w:rsidRDefault="006827A4" w:rsidP="00651ACB">
      <w:pPr>
        <w:pStyle w:val="ListParagraph"/>
        <w:numPr>
          <w:ilvl w:val="0"/>
          <w:numId w:val="2"/>
        </w:numPr>
        <w:ind w:left="360"/>
      </w:pPr>
      <w:r>
        <w:t xml:space="preserve">The committee is formulating technical comments about </w:t>
      </w:r>
      <w:r w:rsidR="001C6E94">
        <w:t>the draft surrender application and decommissioning plan</w:t>
      </w:r>
      <w:r>
        <w:t xml:space="preserve"> while the attorney for the Town of Hollis will be drafting comments emphasizing the legal risks for the town.  </w:t>
      </w:r>
      <w:r w:rsidR="000B6BE3">
        <w:t xml:space="preserve">We’re unsure which one of the following options is most impactful </w:t>
      </w:r>
      <w:r w:rsidR="001C6E94">
        <w:t>for how or when to submit the 2 sets of comments</w:t>
      </w:r>
      <w:r w:rsidR="000B6BE3">
        <w:t>.  What is your advice</w:t>
      </w:r>
      <w:r w:rsidR="001C6E94">
        <w:t>?</w:t>
      </w:r>
    </w:p>
    <w:p w14:paraId="699FD452" w14:textId="6A87E570" w:rsidR="001C6E94" w:rsidRDefault="001C6E94" w:rsidP="00651ACB">
      <w:pPr>
        <w:pStyle w:val="ListParagraph"/>
        <w:numPr>
          <w:ilvl w:val="0"/>
          <w:numId w:val="3"/>
        </w:numPr>
      </w:pPr>
      <w:r>
        <w:t>Submit the committee’s comments by the end of the 90-day comment period (September 1).  Take time to formulate the attorney’s comments and submit them after FERC issues a public notice of the surrender application.</w:t>
      </w:r>
    </w:p>
    <w:p w14:paraId="460AA874" w14:textId="2DCE92B8" w:rsidR="001C6E94" w:rsidRDefault="001C6E94" w:rsidP="00651ACB">
      <w:pPr>
        <w:pStyle w:val="ListParagraph"/>
        <w:numPr>
          <w:ilvl w:val="0"/>
          <w:numId w:val="3"/>
        </w:numPr>
      </w:pPr>
      <w:r>
        <w:t>Submit the two documents separately to Brookfield and FERC by</w:t>
      </w:r>
      <w:r w:rsidR="000B6BE3">
        <w:t xml:space="preserve"> September 1</w:t>
      </w:r>
      <w:r>
        <w:t>.</w:t>
      </w:r>
    </w:p>
    <w:p w14:paraId="2A0646D2" w14:textId="49C716AE" w:rsidR="001C6E94" w:rsidRDefault="001C6E94" w:rsidP="00651ACB">
      <w:pPr>
        <w:pStyle w:val="ListParagraph"/>
        <w:numPr>
          <w:ilvl w:val="0"/>
          <w:numId w:val="3"/>
        </w:numPr>
      </w:pPr>
      <w:r>
        <w:t xml:space="preserve">Include the attorney’s comments as an appendix to the committee’s comments by </w:t>
      </w:r>
      <w:r w:rsidR="000B6BE3">
        <w:t>September 1</w:t>
      </w:r>
      <w:r>
        <w:t>.</w:t>
      </w:r>
    </w:p>
    <w:p w14:paraId="1206225D" w14:textId="111DCF90" w:rsidR="000B6BE3" w:rsidRDefault="000B6BE3" w:rsidP="00651ACB">
      <w:pPr>
        <w:pStyle w:val="ListParagraph"/>
        <w:numPr>
          <w:ilvl w:val="0"/>
          <w:numId w:val="3"/>
        </w:numPr>
      </w:pPr>
      <w:r>
        <w:t>Other.</w:t>
      </w:r>
    </w:p>
    <w:p w14:paraId="7357670A" w14:textId="77777777" w:rsidR="000B6BE3" w:rsidRDefault="000B6BE3" w:rsidP="000B6BE3"/>
    <w:p w14:paraId="7B349412" w14:textId="1DD37217" w:rsidR="00BE2FE7" w:rsidRPr="007542E8" w:rsidRDefault="00DF273C" w:rsidP="00BE2FE7">
      <w:pPr>
        <w:rPr>
          <w:b/>
          <w:bCs/>
        </w:rPr>
      </w:pPr>
      <w:r w:rsidRPr="007542E8">
        <w:rPr>
          <w:b/>
          <w:bCs/>
        </w:rPr>
        <w:t xml:space="preserve">Questions for </w:t>
      </w:r>
      <w:r w:rsidR="007542E8" w:rsidRPr="007542E8">
        <w:rPr>
          <w:b/>
          <w:bCs/>
        </w:rPr>
        <w:t>Cherri Dunnig</w:t>
      </w:r>
      <w:r w:rsidR="007542E8" w:rsidRPr="007542E8">
        <w:rPr>
          <w:b/>
          <w:bCs/>
        </w:rPr>
        <w:t>, Executive Director SRCC</w:t>
      </w:r>
    </w:p>
    <w:p w14:paraId="1C2FB677" w14:textId="2ECC4134" w:rsidR="00DF273C" w:rsidRDefault="00DF273C" w:rsidP="007542E8">
      <w:pPr>
        <w:pStyle w:val="ListParagraph"/>
        <w:numPr>
          <w:ilvl w:val="0"/>
          <w:numId w:val="5"/>
        </w:numPr>
        <w:ind w:left="360"/>
      </w:pPr>
      <w:r>
        <w:t>What authority does the SRCC have to remove or require a bond</w:t>
      </w:r>
      <w:r w:rsidR="00D4046F">
        <w:t xml:space="preserve"> for the powerhouse?</w:t>
      </w:r>
    </w:p>
    <w:sectPr w:rsidR="00DF27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364DE"/>
    <w:multiLevelType w:val="hybridMultilevel"/>
    <w:tmpl w:val="ED94E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F250DC"/>
    <w:multiLevelType w:val="hybridMultilevel"/>
    <w:tmpl w:val="85744C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524572"/>
    <w:multiLevelType w:val="hybridMultilevel"/>
    <w:tmpl w:val="41F4878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ACD4304"/>
    <w:multiLevelType w:val="hybridMultilevel"/>
    <w:tmpl w:val="423093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F85FCE"/>
    <w:multiLevelType w:val="hybridMultilevel"/>
    <w:tmpl w:val="4CF245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1030944">
    <w:abstractNumId w:val="0"/>
  </w:num>
  <w:num w:numId="2" w16cid:durableId="1386682898">
    <w:abstractNumId w:val="3"/>
  </w:num>
  <w:num w:numId="3" w16cid:durableId="1684282847">
    <w:abstractNumId w:val="2"/>
  </w:num>
  <w:num w:numId="4" w16cid:durableId="140584794">
    <w:abstractNumId w:val="4"/>
  </w:num>
  <w:num w:numId="5" w16cid:durableId="1210712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7A4"/>
    <w:rsid w:val="000B6BE3"/>
    <w:rsid w:val="000E2063"/>
    <w:rsid w:val="00133C72"/>
    <w:rsid w:val="001C6E94"/>
    <w:rsid w:val="002D0392"/>
    <w:rsid w:val="003F3B12"/>
    <w:rsid w:val="004A4BA2"/>
    <w:rsid w:val="00582A38"/>
    <w:rsid w:val="00651ACB"/>
    <w:rsid w:val="006827A4"/>
    <w:rsid w:val="007542E8"/>
    <w:rsid w:val="00884499"/>
    <w:rsid w:val="00B42661"/>
    <w:rsid w:val="00BE2FE7"/>
    <w:rsid w:val="00BF5F0C"/>
    <w:rsid w:val="00D10E86"/>
    <w:rsid w:val="00D4046F"/>
    <w:rsid w:val="00DD0CB2"/>
    <w:rsid w:val="00DF103F"/>
    <w:rsid w:val="00DF273C"/>
    <w:rsid w:val="00F907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26D29"/>
  <w15:chartTrackingRefBased/>
  <w15:docId w15:val="{E343476C-C763-475C-9894-3BB93F7B5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27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27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27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27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27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27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27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27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27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27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27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27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27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27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27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27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27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27A4"/>
    <w:rPr>
      <w:rFonts w:eastAsiaTheme="majorEastAsia" w:cstheme="majorBidi"/>
      <w:color w:val="272727" w:themeColor="text1" w:themeTint="D8"/>
    </w:rPr>
  </w:style>
  <w:style w:type="paragraph" w:styleId="Title">
    <w:name w:val="Title"/>
    <w:basedOn w:val="Normal"/>
    <w:next w:val="Normal"/>
    <w:link w:val="TitleChar"/>
    <w:uiPriority w:val="10"/>
    <w:qFormat/>
    <w:rsid w:val="006827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27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27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27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27A4"/>
    <w:pPr>
      <w:spacing w:before="160"/>
      <w:jc w:val="center"/>
    </w:pPr>
    <w:rPr>
      <w:i/>
      <w:iCs/>
      <w:color w:val="404040" w:themeColor="text1" w:themeTint="BF"/>
    </w:rPr>
  </w:style>
  <w:style w:type="character" w:customStyle="1" w:styleId="QuoteChar">
    <w:name w:val="Quote Char"/>
    <w:basedOn w:val="DefaultParagraphFont"/>
    <w:link w:val="Quote"/>
    <w:uiPriority w:val="29"/>
    <w:rsid w:val="006827A4"/>
    <w:rPr>
      <w:i/>
      <w:iCs/>
      <w:color w:val="404040" w:themeColor="text1" w:themeTint="BF"/>
    </w:rPr>
  </w:style>
  <w:style w:type="paragraph" w:styleId="ListParagraph">
    <w:name w:val="List Paragraph"/>
    <w:basedOn w:val="Normal"/>
    <w:uiPriority w:val="34"/>
    <w:qFormat/>
    <w:rsid w:val="006827A4"/>
    <w:pPr>
      <w:ind w:left="720"/>
      <w:contextualSpacing/>
    </w:pPr>
  </w:style>
  <w:style w:type="character" w:styleId="IntenseEmphasis">
    <w:name w:val="Intense Emphasis"/>
    <w:basedOn w:val="DefaultParagraphFont"/>
    <w:uiPriority w:val="21"/>
    <w:qFormat/>
    <w:rsid w:val="006827A4"/>
    <w:rPr>
      <w:i/>
      <w:iCs/>
      <w:color w:val="0F4761" w:themeColor="accent1" w:themeShade="BF"/>
    </w:rPr>
  </w:style>
  <w:style w:type="paragraph" w:styleId="IntenseQuote">
    <w:name w:val="Intense Quote"/>
    <w:basedOn w:val="Normal"/>
    <w:next w:val="Normal"/>
    <w:link w:val="IntenseQuoteChar"/>
    <w:uiPriority w:val="30"/>
    <w:qFormat/>
    <w:rsid w:val="006827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27A4"/>
    <w:rPr>
      <w:i/>
      <w:iCs/>
      <w:color w:val="0F4761" w:themeColor="accent1" w:themeShade="BF"/>
    </w:rPr>
  </w:style>
  <w:style w:type="character" w:styleId="IntenseReference">
    <w:name w:val="Intense Reference"/>
    <w:basedOn w:val="DefaultParagraphFont"/>
    <w:uiPriority w:val="32"/>
    <w:qFormat/>
    <w:rsid w:val="006827A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Pages>
  <Words>302</Words>
  <Characters>1590</Characters>
  <Application>Microsoft Office Word</Application>
  <DocSecurity>0</DocSecurity>
  <Lines>26</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Woodruff</dc:creator>
  <cp:keywords/>
  <dc:description/>
  <cp:lastModifiedBy>Mark Woodruff</cp:lastModifiedBy>
  <cp:revision>9</cp:revision>
  <dcterms:created xsi:type="dcterms:W3CDTF">2026-07-07T14:03:00Z</dcterms:created>
  <dcterms:modified xsi:type="dcterms:W3CDTF">2026-07-07T15:33:00Z</dcterms:modified>
</cp:coreProperties>
</file>