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F6F54"/>
          <w:sz w:val="36"/>
          <w:szCs w:val="36"/>
        </w:rPr>
        <w:t xml:space="preserve">Brookfield Renewable / Bar Mills</w:t>
      </w:r>
    </w:p>
    <w:p>
      <w:pPr>
        <w:spacing w:after="60"/>
      </w:pPr>
      <w:r>
        <w:rPr>
          <w:b/>
          <w:bCs/>
          <w:color w:val="1A1A1A"/>
          <w:sz w:val="26"/>
          <w:szCs w:val="26"/>
        </w:rPr>
        <w:t xml:space="preserve">Research Discussion Thread — Questions &amp; Findings</w:t>
      </w:r>
    </w:p>
    <w:p>
      <w:pPr>
        <w:spacing w:after="240"/>
      </w:pPr>
      <w:r>
        <w:rPr>
          <w:i/>
          <w:iCs/>
          <w:color w:val="595959"/>
          <w:sz w:val="18"/>
          <w:szCs w:val="18"/>
        </w:rPr>
        <w:t xml:space="preserve">A chronological record of the inquiry, from asset sales through FERC surrender strategy. Compiled June 2026. Companion to the data deliverables (the asset-sales summary and the US-disposals ledger). Informational summary, not legal or investment advice.</w:t>
      </w:r>
    </w:p>
    <w:p>
      <w:pPr>
        <w:spacing w:after="120"/>
      </w:pPr>
      <w:r>
        <w:rPr>
          <w:sz w:val="21"/>
          <w:szCs w:val="21"/>
        </w:rPr>
        <w:t xml:space="preserve">This record traces how the inquiry developed: it began as a question about Brookfield Renewable’s asset sales and narrowed, step by step, to a specific concern about the Bar Mills dam in Hollis, Maine, and the legal tools available to protect the town. Each section pairs the question asked with what the research found.</w:t>
      </w:r>
    </w:p>
    <w:p>
      <w:pPr>
        <w:pStyle w:val="Heading1"/>
      </w:pPr>
      <w:r>
        <w:t xml:space="preserve">1. Brookfield Renewable’s asset sales (2024–25)</w:t>
      </w:r>
    </w:p>
    <w:p>
      <w:pPr>
        <w:pBdr>
          <w:left w:val="single" w:color="1F6F54" w:sz="18" w:space="8"/>
        </w:pBdr>
        <w:shd w:fill="EEF3F0" w:color="auto" w:val="clear"/>
        <w:spacing w:after="80" w:before="260"/>
      </w:pPr>
      <w:r>
        <w:rPr>
          <w:b/>
          <w:bCs/>
          <w:color w:val="1F6F54"/>
          <w:sz w:val="22"/>
          <w:szCs w:val="22"/>
        </w:rPr>
        <w:t xml:space="preserve">Q: </w:t>
      </w:r>
      <w:r>
        <w:rPr>
          <w:b/>
          <w:bCs/>
          <w:color w:val="1A1A1A"/>
          <w:sz w:val="22"/>
          <w:szCs w:val="22"/>
        </w:rPr>
        <w:t xml:space="preserve">List and describe the asset sales Brookfield Renewable has done over the past two years.</w:t>
      </w:r>
    </w:p>
    <w:p>
      <w:pPr>
        <w:spacing w:after="120"/>
      </w:pPr>
      <w:r>
        <w:rPr>
          <w:sz w:val="21"/>
          <w:szCs w:val="21"/>
        </w:rPr>
        <w:t xml:space="preserve">Brookfield runs a capital-recycling (“asset rotation”) strategy: it sells mature, de-risked operating assets to lower-cost-of-capital buyers and redeploys proceeds into development and acquisitions. Reported recycling proceeds were a record </w:t>
      </w:r>
      <w:r>
        <w:rPr>
          <w:b/>
          <w:bCs/>
          <w:sz w:val="21"/>
          <w:szCs w:val="21"/>
        </w:rPr>
        <w:t xml:space="preserve">$2.8B in 2024</w:t>
      </w:r>
      <w:r>
        <w:rPr>
          <w:sz w:val="21"/>
          <w:szCs w:val="21"/>
        </w:rPr>
        <w:t xml:space="preserve"> (&gt;$1B net to BEP) and a further record </w:t>
      </w:r>
      <w:r>
        <w:rPr>
          <w:b/>
          <w:bCs/>
          <w:sz w:val="21"/>
          <w:szCs w:val="21"/>
        </w:rPr>
        <w:t xml:space="preserve">$4.5B in 2025</w:t>
      </w:r>
      <w:r>
        <w:rPr>
          <w:sz w:val="21"/>
          <w:szCs w:val="21"/>
        </w:rPr>
        <w:t xml:space="preserve"> ($1.3B net). Headline deals: Saeta Yield (Spain/Portugal, ~$1.4B, to Masdar), First Hydro (UK pumped storage, 25%, $350M), Shepherds Flat (Oregon wind), an India wind/solar portfolio (to Gentari); then in 2025 Luminace (North American distributed generation), a “non-core” US hydro portfolio, a 700 MW US DG portfolio, ~$1B of Neoen asset rotation, and a ~2,300 MW US wind &amp; solar portfolio closing into 2026.</w:t>
      </w:r>
    </w:p>
    <w:p>
      <w:pPr>
        <w:pStyle w:val="Heading1"/>
      </w:pPr>
      <w:r>
        <w:t xml:space="preserve">2. How Brookfield handles “excess / unwanted” property</w:t>
      </w:r>
    </w:p>
    <w:p>
      <w:pPr>
        <w:pBdr>
          <w:left w:val="single" w:color="1F6F54" w:sz="18" w:space="8"/>
        </w:pBdr>
        <w:shd w:fill="EEF3F0" w:color="auto" w:val="clear"/>
        <w:spacing w:after="80" w:before="260"/>
      </w:pPr>
      <w:r>
        <w:rPr>
          <w:b/>
          <w:bCs/>
          <w:color w:val="1F6F54"/>
          <w:sz w:val="22"/>
          <w:szCs w:val="22"/>
        </w:rPr>
        <w:t xml:space="preserve">Q: </w:t>
      </w:r>
      <w:r>
        <w:rPr>
          <w:b/>
          <w:bCs/>
          <w:color w:val="1A1A1A"/>
          <w:sz w:val="22"/>
          <w:szCs w:val="22"/>
        </w:rPr>
        <w:t xml:space="preserve">Is there evidence of how Brookfield handles excess, unwanted properties?</w:t>
      </w:r>
    </w:p>
    <w:p>
      <w:pPr>
        <w:spacing w:after="120"/>
      </w:pPr>
      <w:r>
        <w:rPr>
          <w:sz w:val="21"/>
          <w:szCs w:val="21"/>
        </w:rPr>
        <w:t xml:space="preserve">The framing didn’t match the evidence. Brookfield’s disposals are deliberate capital recycling — it sells assets when they are </w:t>
      </w:r>
      <w:r>
        <w:rPr>
          <w:i/>
          <w:iCs/>
          <w:sz w:val="21"/>
          <w:szCs w:val="21"/>
        </w:rPr>
        <w:t xml:space="preserve">in demand</w:t>
      </w:r>
      <w:r>
        <w:rPr>
          <w:sz w:val="21"/>
          <w:szCs w:val="21"/>
        </w:rPr>
        <w:t xml:space="preserve"> and attracting strong valuations, not when they have become problems. Track record since 2020: ~$6B in proceeds at ~22% average IRR and ~2.1x invested capital — returns inconsistent with offloading unwanted assets. No distinct “distressed property” disposal process was found at the renewable entity. The one place language like that appears is at the parent (Brookfield Corporation) regarding troubled office real estate — a different business.</w:t>
      </w:r>
    </w:p>
    <w:p>
      <w:pPr>
        <w:pStyle w:val="Heading1"/>
      </w:pPr>
      <w:r>
        <w:t xml:space="preserve">3. End-of-life / written-down / problem assets</w:t>
      </w:r>
    </w:p>
    <w:p>
      <w:pPr>
        <w:pBdr>
          <w:left w:val="single" w:color="1F6F54" w:sz="18" w:space="8"/>
        </w:pBdr>
        <w:shd w:fill="EEF3F0" w:color="auto" w:val="clear"/>
        <w:spacing w:after="80" w:before="260"/>
      </w:pPr>
      <w:r>
        <w:rPr>
          <w:b/>
          <w:bCs/>
          <w:color w:val="1F6F54"/>
          <w:sz w:val="22"/>
          <w:szCs w:val="22"/>
        </w:rPr>
        <w:t xml:space="preserve">Q: </w:t>
      </w:r>
      <w:r>
        <w:rPr>
          <w:b/>
          <w:bCs/>
          <w:color w:val="1A1A1A"/>
          <w:sz w:val="22"/>
          <w:szCs w:val="22"/>
        </w:rPr>
        <w:t xml:space="preserve">Dig into sales of end-of-life assets, assets written down in value, and projects with permitting or physical problems.</w:t>
      </w:r>
    </w:p>
    <w:p>
      <w:pPr>
        <w:spacing w:after="120"/>
      </w:pPr>
      <w:r>
        <w:rPr>
          <w:sz w:val="21"/>
          <w:szCs w:val="21"/>
        </w:rPr>
        <w:t xml:space="preserve">The granular disposal notes surface a few non-core cases (e.g., an 85 MW Brazil biomass portfolio sold at a loss; Brazil hydro/biomass in held-for-sale). But two structural points cut against the broader thesis: most small disposals were </w:t>
      </w:r>
      <w:r>
        <w:rPr>
          <w:b/>
          <w:bCs/>
          <w:sz w:val="21"/>
          <w:szCs w:val="21"/>
        </w:rPr>
        <w:t xml:space="preserve">gains, not write-downs</w:t>
      </w:r>
      <w:r>
        <w:rPr>
          <w:sz w:val="21"/>
          <w:szCs w:val="21"/>
        </w:rPr>
        <w:t xml:space="preserve">; and Brookfield reports under IFRS using the </w:t>
      </w:r>
      <w:r>
        <w:rPr>
          <w:b/>
          <w:bCs/>
          <w:sz w:val="21"/>
          <w:szCs w:val="21"/>
        </w:rPr>
        <w:t xml:space="preserve">revaluation model</w:t>
      </w:r>
      <w:r>
        <w:rPr>
          <w:sz w:val="21"/>
          <w:szCs w:val="21"/>
        </w:rPr>
        <w:t xml:space="preserve">, so a deteriorating asset is typically marked down through annual fair-value changes in equity/OCI </w:t>
      </w:r>
      <w:r>
        <w:rPr>
          <w:i/>
          <w:iCs/>
          <w:sz w:val="21"/>
          <w:szCs w:val="21"/>
        </w:rPr>
        <w:t xml:space="preserve">before</w:t>
      </w:r>
      <w:r>
        <w:rPr>
          <w:sz w:val="21"/>
          <w:szCs w:val="21"/>
        </w:rPr>
        <w:t xml:space="preserve"> any sale — meaning distressed assets rarely surface as loss-making disposals.</w:t>
      </w:r>
    </w:p>
    <w:p>
      <w:pPr>
        <w:pStyle w:val="Heading1"/>
      </w:pPr>
      <w:r>
        <w:t xml:space="preserve">4. US focus — orphaned / non-productive assets</w:t>
      </w:r>
    </w:p>
    <w:p>
      <w:pPr>
        <w:pBdr>
          <w:left w:val="single" w:color="1F6F54" w:sz="18" w:space="8"/>
        </w:pBdr>
        <w:shd w:fill="EEF3F0" w:color="auto" w:val="clear"/>
        <w:spacing w:after="80" w:before="260"/>
      </w:pPr>
      <w:r>
        <w:rPr>
          <w:b/>
          <w:bCs/>
          <w:color w:val="1F6F54"/>
          <w:sz w:val="22"/>
          <w:szCs w:val="22"/>
        </w:rPr>
        <w:t xml:space="preserve">Q: </w:t>
      </w:r>
      <w:r>
        <w:rPr>
          <w:b/>
          <w:bCs/>
          <w:color w:val="1A1A1A"/>
          <w:sz w:val="22"/>
          <w:szCs w:val="22"/>
        </w:rPr>
        <w:t xml:space="preserve">Focus on the sale of orphaned or non-productive assets, especially in the US (gains or losses).</w:t>
      </w:r>
    </w:p>
    <w:p>
      <w:pPr>
        <w:spacing w:after="120"/>
      </w:pPr>
      <w:r>
        <w:rPr>
          <w:sz w:val="21"/>
          <w:szCs w:val="21"/>
        </w:rPr>
        <w:t xml:space="preserve">The only US assets Brookfield itself labels </w:t>
      </w:r>
      <w:r>
        <w:rPr>
          <w:b/>
          <w:bCs/>
          <w:sz w:val="21"/>
          <w:szCs w:val="21"/>
        </w:rPr>
        <w:t xml:space="preserve">“non-core”</w:t>
      </w:r>
      <w:r>
        <w:rPr>
          <w:sz w:val="21"/>
          <w:szCs w:val="21"/>
        </w:rPr>
        <w:t xml:space="preserve"> are hydro plants. Standalone US disposals included a 30 MW hydro plant (2024, sold </w:t>
      </w:r>
      <w:r>
        <w:rPr>
          <w:i/>
          <w:iCs/>
          <w:sz w:val="21"/>
          <w:szCs w:val="21"/>
        </w:rPr>
        <w:t xml:space="preserve">above</w:t>
      </w:r>
      <w:r>
        <w:rPr>
          <w:sz w:val="21"/>
          <w:szCs w:val="21"/>
        </w:rPr>
        <w:t xml:space="preserve"> book at a $29M gain), a 60 MW battery (2024), and a ~400 MW “non-core” US hydro portfolio (2025). From 2023 onward several US sales routed a portion to </w:t>
      </w:r>
      <w:r>
        <w:rPr>
          <w:b/>
          <w:bCs/>
          <w:sz w:val="21"/>
          <w:szCs w:val="21"/>
        </w:rPr>
        <w:t xml:space="preserve">Brookfield-affiliated (BAM-managed) funds</w:t>
      </w:r>
      <w:r>
        <w:rPr>
          <w:sz w:val="21"/>
          <w:szCs w:val="21"/>
        </w:rPr>
        <w:t xml:space="preserve"> — the mechanism by which assets leave BEP’s books while staying in the Brookfield group. No US disposal was attributed to end-of-life, permitting, or physical failure; none was booked at a loss.</w:t>
      </w:r>
    </w:p>
    <w:p>
      <w:pPr>
        <w:pStyle w:val="Heading1"/>
      </w:pPr>
      <w:r>
        <w:t xml:space="preserve">5. A full US disposal ledger, 2015–2025</w:t>
      </w:r>
    </w:p>
    <w:p>
      <w:pPr>
        <w:pBdr>
          <w:left w:val="single" w:color="1F6F54" w:sz="18" w:space="8"/>
        </w:pBdr>
        <w:shd w:fill="EEF3F0" w:color="auto" w:val="clear"/>
        <w:spacing w:after="80" w:before="260"/>
      </w:pPr>
      <w:r>
        <w:rPr>
          <w:b/>
          <w:bCs/>
          <w:color w:val="1F6F54"/>
          <w:sz w:val="22"/>
          <w:szCs w:val="22"/>
        </w:rPr>
        <w:t xml:space="preserve">Q: </w:t>
      </w:r>
      <w:r>
        <w:rPr>
          <w:b/>
          <w:bCs/>
          <w:color w:val="1A1A1A"/>
          <w:sz w:val="22"/>
          <w:szCs w:val="22"/>
        </w:rPr>
        <w:t xml:space="preserve">Build a US-only ledger across every annual report since 2015, read thoroughly.</w:t>
      </w:r>
    </w:p>
    <w:p>
      <w:pPr>
        <w:spacing w:after="120"/>
      </w:pPr>
      <w:r>
        <w:rPr>
          <w:sz w:val="21"/>
          <w:szCs w:val="21"/>
        </w:rPr>
        <w:t xml:space="preserve">An eleven-year, US-only ledger was compiled from each year’s disposal and held-for-sale notes (delivered as a separate landscape document). Wind disposals cluster on the West Coast / mountain-West (California, Oregon) with a New Hampshire outlier; 2016–19 and 2022 had no standalone US disposal. The hydro rows were highlighted at your request. A recurring finding: Brookfield discloses location </w:t>
      </w:r>
      <w:r>
        <w:rPr>
          <w:i/>
          <w:iCs/>
          <w:sz w:val="21"/>
          <w:szCs w:val="21"/>
        </w:rPr>
        <w:t xml:space="preserve">sparingly</w:t>
      </w:r>
      <w:r>
        <w:rPr>
          <w:sz w:val="21"/>
          <w:szCs w:val="21"/>
        </w:rPr>
        <w:t xml:space="preserve"> — most precise locations came from buyers or trade press, not Brookfield’s filings.</w:t>
      </w:r>
    </w:p>
    <w:p>
      <w:pPr>
        <w:pStyle w:val="Heading1"/>
      </w:pPr>
      <w:r>
        <w:t xml:space="preserve">6. Identifying the sold hydro assets</w:t>
      </w:r>
    </w:p>
    <w:p>
      <w:pPr>
        <w:pBdr>
          <w:left w:val="single" w:color="1F6F54" w:sz="18" w:space="8"/>
        </w:pBdr>
        <w:shd w:fill="EEF3F0" w:color="auto" w:val="clear"/>
        <w:spacing w:after="80" w:before="260"/>
      </w:pPr>
      <w:r>
        <w:rPr>
          <w:b/>
          <w:bCs/>
          <w:color w:val="1F6F54"/>
          <w:sz w:val="22"/>
          <w:szCs w:val="22"/>
        </w:rPr>
        <w:t xml:space="preserve">Q: </w:t>
      </w:r>
      <w:r>
        <w:rPr>
          <w:b/>
          <w:bCs/>
          <w:color w:val="1A1A1A"/>
          <w:sz w:val="22"/>
          <w:szCs w:val="22"/>
        </w:rPr>
        <w:t xml:space="preserve">How can we determine the locations of the sold hydro assets — and can you identify them?</w:t>
      </w:r>
    </w:p>
    <w:p>
      <w:pPr>
        <w:spacing w:after="120"/>
      </w:pPr>
      <w:r>
        <w:rPr>
          <w:sz w:val="21"/>
          <w:szCs w:val="21"/>
        </w:rPr>
        <w:t xml:space="preserve">By triangulating the buyer, offtaker, lenders, and a sister Brookfield fund’s holdings table, both large hydro portfolios resolved to the </w:t>
      </w:r>
      <w:r>
        <w:rPr>
          <w:b/>
          <w:bCs/>
          <w:sz w:val="21"/>
          <w:szCs w:val="21"/>
        </w:rPr>
        <w:t xml:space="preserve">same asset: Smoky Mountain (formerly Tapoco)</w:t>
      </w:r>
      <w:r>
        <w:rPr>
          <w:sz w:val="21"/>
          <w:szCs w:val="21"/>
        </w:rPr>
        <w:t xml:space="preserve"> — four dams (Cheoah, Santeetlah, Calderwood, Chilhowee) on the Little Tennessee and Cheoah Rivers across east Tennessee and western North Carolina, FERC Project No. 2169. Brookfield bought it from Alcoa for $600M in 2012, sold 50% to Argo Infrastructure Partners in 2023, and sold the remaining 50% across 2025–26. “Non-core” meant portfolio fit, not poor quality — Smoky has a 10-year TVA offtake and a $435M financing.</w:t>
      </w:r>
    </w:p>
    <w:p>
      <w:pPr>
        <w:pStyle w:val="Heading1"/>
      </w:pPr>
      <w:r>
        <w:t xml:space="preserve">7. FERC license non-renewals &amp; decommissioning</w:t>
      </w:r>
    </w:p>
    <w:p>
      <w:pPr>
        <w:pBdr>
          <w:left w:val="single" w:color="1F6F54" w:sz="18" w:space="8"/>
        </w:pBdr>
        <w:shd w:fill="EEF3F0" w:color="auto" w:val="clear"/>
        <w:spacing w:after="80" w:before="260"/>
      </w:pPr>
      <w:r>
        <w:rPr>
          <w:b/>
          <w:bCs/>
          <w:color w:val="1F6F54"/>
          <w:sz w:val="22"/>
          <w:szCs w:val="22"/>
        </w:rPr>
        <w:t xml:space="preserve">Q: </w:t>
      </w:r>
      <w:r>
        <w:rPr>
          <w:b/>
          <w:bCs/>
          <w:color w:val="1A1A1A"/>
          <w:sz w:val="22"/>
          <w:szCs w:val="22"/>
        </w:rPr>
        <w:t xml:space="preserve">Find all licenses not renewed or plants decommissioned by a Brookfield entity at FERC — including non-hydro surrenders.</w:t>
      </w:r>
    </w:p>
    <w:p>
      <w:pPr>
        <w:spacing w:after="120"/>
      </w:pPr>
      <w:r>
        <w:rPr>
          <w:sz w:val="21"/>
          <w:szCs w:val="21"/>
        </w:rPr>
        <w:t xml:space="preserve">These cluster in Maine and are relicensing conflicts. Clearest cases: </w:t>
      </w:r>
      <w:r>
        <w:rPr>
          <w:b/>
          <w:bCs/>
          <w:sz w:val="21"/>
          <w:szCs w:val="21"/>
        </w:rPr>
        <w:t xml:space="preserve">Bar Mills</w:t>
      </w:r>
      <w:r>
        <w:rPr>
          <w:sz w:val="21"/>
          <w:szCs w:val="21"/>
        </w:rPr>
        <w:t xml:space="preserve"> (FERC No. 2194, Saco River, Hollis — surrender filed 2020; units inoperable for years); the </w:t>
      </w:r>
      <w:r>
        <w:rPr>
          <w:b/>
          <w:bCs/>
          <w:sz w:val="21"/>
          <w:szCs w:val="21"/>
        </w:rPr>
        <w:t xml:space="preserve">Ellsworth Project</w:t>
      </w:r>
      <w:r>
        <w:rPr>
          <w:sz w:val="21"/>
          <w:szCs w:val="21"/>
        </w:rPr>
        <w:t xml:space="preserve"> (Black Bear Hydro; license expired 2017, running on annual temporary licenses, water-quality certification denied); and the </w:t>
      </w:r>
      <w:r>
        <w:rPr>
          <w:b/>
          <w:bCs/>
          <w:sz w:val="21"/>
          <w:szCs w:val="21"/>
        </w:rPr>
        <w:t xml:space="preserve">lower Kennebec dams</w:t>
      </w:r>
      <w:r>
        <w:rPr>
          <w:sz w:val="21"/>
          <w:szCs w:val="21"/>
        </w:rPr>
        <w:t xml:space="preserve"> (Shawmut, Lockwood, Hydro-Kennebec, Weston — contested relicensing/removal). On the non-hydro question: FERC license </w:t>
      </w:r>
      <w:r>
        <w:rPr>
          <w:i/>
          <w:iCs/>
          <w:sz w:val="21"/>
          <w:szCs w:val="21"/>
        </w:rPr>
        <w:t xml:space="preserve">surrender</w:t>
      </w:r>
      <w:r>
        <w:rPr>
          <w:sz w:val="21"/>
          <w:szCs w:val="21"/>
        </w:rPr>
        <w:t xml:space="preserve"> applies only to hydropower, while wind/solar/storage entities hold cancellable market-based-rate and QF authorizations — a section later removed from the memo at your request.</w:t>
      </w:r>
    </w:p>
    <w:p>
      <w:pPr>
        <w:pStyle w:val="Heading1"/>
      </w:pPr>
      <w:r>
        <w:t xml:space="preserve">8. The Bar Mills retained-powerhouse risk</w:t>
      </w:r>
    </w:p>
    <w:p>
      <w:pPr>
        <w:pBdr>
          <w:left w:val="single" w:color="1F6F54" w:sz="18" w:space="8"/>
        </w:pBdr>
        <w:shd w:fill="EEF3F0" w:color="auto" w:val="clear"/>
        <w:spacing w:after="80" w:before="260"/>
      </w:pPr>
      <w:r>
        <w:rPr>
          <w:b/>
          <w:bCs/>
          <w:color w:val="1F6F54"/>
          <w:sz w:val="22"/>
          <w:szCs w:val="22"/>
        </w:rPr>
        <w:t xml:space="preserve">Q: </w:t>
      </w:r>
      <w:r>
        <w:rPr>
          <w:b/>
          <w:bCs/>
          <w:color w:val="1A1A1A"/>
          <w:sz w:val="22"/>
          <w:szCs w:val="22"/>
        </w:rPr>
        <w:t xml:space="preserve">As part of the Bar Mills surrender, BWPH plans to retain a defunct powerhouse. The risk is they later abandon or sell that surplus property to a buyer that cannot maintain or remove it, and it falls to the small town of Hollis, which cannot absorb the expense.</w:t>
      </w:r>
    </w:p>
    <w:p>
      <w:pPr>
        <w:spacing w:after="120"/>
      </w:pPr>
      <w:r>
        <w:rPr>
          <w:sz w:val="21"/>
          <w:szCs w:val="21"/>
        </w:rPr>
        <w:t xml:space="preserve">The record supports the concern. BWPH will </w:t>
      </w:r>
      <w:r>
        <w:rPr>
          <w:b/>
          <w:bCs/>
          <w:sz w:val="21"/>
          <w:szCs w:val="21"/>
        </w:rPr>
        <w:t xml:space="preserve">retain the powerhouse</w:t>
      </w:r>
      <w:r>
        <w:rPr>
          <w:sz w:val="21"/>
          <w:szCs w:val="21"/>
        </w:rPr>
        <w:t xml:space="preserve"> (1956 structure) and leave part of the spillway and the eastern dam in place. The decisive mechanism, in BWPH’s own words: </w:t>
      </w:r>
      <w:r>
        <w:rPr>
          <w:b/>
          <w:bCs/>
          <w:sz w:val="21"/>
          <w:szCs w:val="21"/>
        </w:rPr>
        <w:t xml:space="preserve">“once the surrender application is approved by FERC, there is no longer a FERC project boundary.”</w:t>
      </w:r>
      <w:r>
        <w:rPr>
          <w:sz w:val="21"/>
          <w:szCs w:val="21"/>
        </w:rPr>
        <w:t xml:space="preserve"> On surrender, FERC’s safety and financial jurisdiction </w:t>
      </w:r>
      <w:r>
        <w:rPr>
          <w:b/>
          <w:bCs/>
          <w:sz w:val="21"/>
          <w:szCs w:val="21"/>
        </w:rPr>
        <w:t xml:space="preserve">ends entirely</w:t>
      </w:r>
      <w:r>
        <w:rPr>
          <w:sz w:val="21"/>
          <w:szCs w:val="21"/>
        </w:rPr>
        <w:t xml:space="preserve"> — no federal bond, no maintenance trust, no obligation running with the land to a future owner. BWPH’s maintenance duty binds BWPH under the approved plan, not clearly a perpetual covenant against a downstream buyer. The retained structures sit next to the Rogers Fibre Mill Superfund site. Exposure is split: the powerhouse is on the </w:t>
      </w:r>
      <w:r>
        <w:rPr>
          <w:b/>
          <w:bCs/>
          <w:sz w:val="21"/>
          <w:szCs w:val="21"/>
        </w:rPr>
        <w:t xml:space="preserve">Hollis</w:t>
      </w:r>
      <w:r>
        <w:rPr>
          <w:sz w:val="21"/>
          <w:szCs w:val="21"/>
        </w:rPr>
        <w:t xml:space="preserve"> side; the eastern dam and Superfund parcel are owned by the </w:t>
      </w:r>
      <w:r>
        <w:rPr>
          <w:b/>
          <w:bCs/>
          <w:sz w:val="21"/>
          <w:szCs w:val="21"/>
        </w:rPr>
        <w:t xml:space="preserve">Town of Buxton</w:t>
      </w:r>
      <w:r>
        <w:rPr>
          <w:sz w:val="21"/>
          <w:szCs w:val="21"/>
        </w:rPr>
        <w:t xml:space="preserve">.</w:t>
      </w:r>
    </w:p>
    <w:p>
      <w:pPr>
        <w:pStyle w:val="Heading1"/>
      </w:pPr>
      <w:r>
        <w:t xml:space="preserve">9. Is the Hollis fear precedented?</w:t>
      </w:r>
    </w:p>
    <w:p>
      <w:pPr>
        <w:pBdr>
          <w:left w:val="single" w:color="1F6F54" w:sz="18" w:space="8"/>
        </w:pBdr>
        <w:shd w:fill="EEF3F0" w:color="auto" w:val="clear"/>
        <w:spacing w:after="80" w:before="260"/>
      </w:pPr>
      <w:r>
        <w:rPr>
          <w:b/>
          <w:bCs/>
          <w:color w:val="1F6F54"/>
          <w:sz w:val="22"/>
          <w:szCs w:val="22"/>
        </w:rPr>
        <w:t xml:space="preserve">Q: </w:t>
      </w:r>
      <w:r>
        <w:rPr>
          <w:b/>
          <w:bCs/>
          <w:color w:val="1A1A1A"/>
          <w:sz w:val="22"/>
          <w:szCs w:val="22"/>
        </w:rPr>
        <w:t xml:space="preserve">Are there examples of this feared outcome — by Brookfield or other large operators? (with detail on Cheboygan, Boyce/Edenville, Morrow)</w:t>
      </w:r>
    </w:p>
    <w:p>
      <w:pPr>
        <w:spacing w:after="120"/>
      </w:pPr>
      <w:r>
        <w:rPr>
          <w:sz w:val="21"/>
          <w:szCs w:val="21"/>
        </w:rPr>
        <w:t xml:space="preserve">Yes — a documented failure mode. </w:t>
      </w:r>
      <w:r>
        <w:rPr>
          <w:b/>
          <w:bCs/>
          <w:sz w:val="21"/>
          <w:szCs w:val="21"/>
        </w:rPr>
        <w:t xml:space="preserve">Cheboygan, MI</w:t>
      </w:r>
      <w:r>
        <w:rPr>
          <w:sz w:val="21"/>
          <w:szCs w:val="21"/>
        </w:rPr>
        <w:t xml:space="preserve"> is the closest analog: a split complex (state owns the 1922 dam, a thin LLC — Hom Paper XI — owns the powerhouse), offline since a 2023 fire, whose owner called operating it “no longer economically feasible,” won repeated FERC extensions while trying to offload it to a small Wyoming firm (HydroMine), and came within ~6 inches of overtopping in April 2026 — saved only by an emergency multi-agency turbine restart. </w:t>
      </w:r>
      <w:r>
        <w:rPr>
          <w:b/>
          <w:bCs/>
          <w:sz w:val="21"/>
          <w:szCs w:val="21"/>
        </w:rPr>
        <w:t xml:space="preserve">Boyce / Edenville</w:t>
      </w:r>
      <w:r>
        <w:rPr>
          <w:sz w:val="21"/>
          <w:szCs w:val="21"/>
        </w:rPr>
        <w:t xml:space="preserve"> is the catastrophe: FERC revoked the license in 2018 after a decade of violations; the dam failed in May 2020, cascaded into Sanford Dam, evacuated ~10,000 people, caused $200M+ damage; the owner went bankrupt and was found personally liable for ~$119M but is judgment-proof — and a court held the state not liable, leaving victims with no solvent defendant. </w:t>
      </w:r>
      <w:r>
        <w:rPr>
          <w:b/>
          <w:bCs/>
          <w:sz w:val="21"/>
          <w:szCs w:val="21"/>
        </w:rPr>
        <w:t xml:space="preserve">Morrow Dam</w:t>
      </w:r>
      <w:r>
        <w:rPr>
          <w:sz w:val="21"/>
          <w:szCs w:val="21"/>
        </w:rPr>
        <w:t xml:space="preserve"> shows the single-purpose-LLC-plus-Superfund profile: STS Hydropower (a subsidiary of Eagle Creek / Ontario Power Generation) ran a year-long “emergency” drawdown that buried ~30 miles of the Kalamazoo River in ~370,000 cubic yards of sediment; the state had to plead the parent as STS’s “alter ego” to pierce the LLC veil, settling in 2026 for $25M — with no required cleanup.</w:t>
      </w:r>
    </w:p>
    <w:p>
      <w:pPr>
        <w:spacing w:after="120"/>
      </w:pPr>
      <w:r>
        <w:rPr>
          <w:sz w:val="21"/>
          <w:szCs w:val="21"/>
        </w:rPr>
        <w:t xml:space="preserve">No </w:t>
      </w:r>
      <w:r>
        <w:rPr>
          <w:i/>
          <w:iCs/>
          <w:sz w:val="21"/>
          <w:szCs w:val="21"/>
        </w:rPr>
        <w:t xml:space="preserve">completed</w:t>
      </w:r>
      <w:r>
        <w:rPr>
          <w:sz w:val="21"/>
          <w:szCs w:val="21"/>
        </w:rPr>
        <w:t xml:space="preserve"> Brookfield abandonment-to-a-town was found. But Brookfield uses the same single-purpose-holding-company structure now (Kennebec), states cost-avoidance as its disposal motive, and has minimized obligations on an uneconomic asset before (suspending ~97% of E.J. West / Conklingville payments). These are </w:t>
      </w:r>
      <w:r>
        <w:rPr>
          <w:b/>
          <w:bCs/>
          <w:sz w:val="21"/>
          <w:szCs w:val="21"/>
        </w:rPr>
        <w:t xml:space="preserve">what-the-structure-permits</w:t>
      </w:r>
      <w:r>
        <w:rPr>
          <w:sz w:val="21"/>
          <w:szCs w:val="21"/>
        </w:rPr>
        <w:t xml:space="preserve"> precedents — not Brookfield conduct.</w:t>
      </w:r>
    </w:p>
    <w:p>
      <w:pPr>
        <w:pStyle w:val="Heading1"/>
      </w:pPr>
      <w:r>
        <w:t xml:space="preserve">10. Novel stakeholder approaches in FERC surrenders</w:t>
      </w:r>
    </w:p>
    <w:p>
      <w:pPr>
        <w:pBdr>
          <w:left w:val="single" w:color="1F6F54" w:sz="18" w:space="8"/>
        </w:pBdr>
        <w:shd w:fill="EEF3F0" w:color="auto" w:val="clear"/>
        <w:spacing w:after="80" w:before="260"/>
      </w:pPr>
      <w:r>
        <w:rPr>
          <w:b/>
          <w:bCs/>
          <w:color w:val="1F6F54"/>
          <w:sz w:val="22"/>
          <w:szCs w:val="22"/>
        </w:rPr>
        <w:t xml:space="preserve">Q: </w:t>
      </w:r>
      <w:r>
        <w:rPr>
          <w:b/>
          <w:bCs/>
          <w:color w:val="1A1A1A"/>
          <w:sz w:val="22"/>
          <w:szCs w:val="22"/>
        </w:rPr>
        <w:t xml:space="preserve">What novel approaches have stakeholders used to protect their interests in FERC surrenders? (verified against primary sources)</w:t>
      </w:r>
    </w:p>
    <w:p>
      <w:pPr>
        <w:spacing w:after="120"/>
      </w:pPr>
      <w:r>
        <w:rPr>
          <w:sz w:val="21"/>
          <w:szCs w:val="21"/>
        </w:rPr>
        <w:t xml:space="preserve">A real toolkit. </w:t>
      </w:r>
      <w:r>
        <w:rPr>
          <w:b/>
          <w:bCs/>
          <w:sz w:val="21"/>
          <w:szCs w:val="21"/>
        </w:rPr>
        <w:t xml:space="preserve">(1) Co-licensee retention or a creditworthy substitute</w:t>
      </w:r>
      <w:r>
        <w:rPr>
          <w:sz w:val="21"/>
          <w:szCs w:val="21"/>
        </w:rPr>
        <w:t xml:space="preserve"> — at Klamath, FERC required the owner to stay on; when PacifiCorp refused, the States of California and Oregon joined as co-licensees instead. </w:t>
      </w:r>
      <w:r>
        <w:rPr>
          <w:b/>
          <w:bCs/>
          <w:sz w:val="21"/>
          <w:szCs w:val="21"/>
        </w:rPr>
        <w:t xml:space="preserve">(2) Bonds / letters of credit / escrow</w:t>
      </w:r>
      <w:r>
        <w:rPr>
          <w:sz w:val="21"/>
          <w:szCs w:val="21"/>
        </w:rPr>
        <w:t xml:space="preserve"> sized to a registered engineer’s make-safe estimate — illustrated by the Marseilles </w:t>
      </w:r>
      <w:r>
        <w:rPr>
          <w:i/>
          <w:iCs/>
          <w:sz w:val="21"/>
          <w:szCs w:val="21"/>
        </w:rPr>
        <w:t xml:space="preserve">construction</w:t>
      </w:r>
      <w:r>
        <w:rPr>
          <w:sz w:val="21"/>
          <w:szCs w:val="21"/>
        </w:rPr>
        <w:t xml:space="preserve"> license (an Illinois </w:t>
      </w:r>
      <w:r>
        <w:rPr>
          <w:b/>
          <w:bCs/>
          <w:sz w:val="21"/>
          <w:szCs w:val="21"/>
        </w:rPr>
        <w:t xml:space="preserve">under-construction</w:t>
      </w:r>
      <w:r>
        <w:rPr>
          <w:sz w:val="21"/>
          <w:szCs w:val="21"/>
        </w:rPr>
        <w:t xml:space="preserve"> case, </w:t>
      </w:r>
      <w:r>
        <w:rPr>
          <w:i/>
          <w:iCs/>
          <w:sz w:val="21"/>
          <w:szCs w:val="21"/>
        </w:rPr>
        <w:t xml:space="preserve">not</w:t>
      </w:r>
      <w:r>
        <w:rPr>
          <w:sz w:val="21"/>
          <w:szCs w:val="21"/>
        </w:rPr>
        <w:t xml:space="preserve"> a surrender; FERC imposed it because the representative was tied to the failed Sanford project). </w:t>
      </w:r>
      <w:r>
        <w:rPr>
          <w:b/>
          <w:bCs/>
          <w:sz w:val="21"/>
          <w:szCs w:val="21"/>
        </w:rPr>
        <w:t xml:space="preserve">(3) The financial-assurance reopener article</w:t>
      </w:r>
      <w:r>
        <w:rPr>
          <w:sz w:val="21"/>
          <w:szCs w:val="21"/>
        </w:rPr>
        <w:t xml:space="preserve"> — see below. </w:t>
      </w:r>
      <w:r>
        <w:rPr>
          <w:b/>
          <w:bCs/>
          <w:sz w:val="21"/>
          <w:szCs w:val="21"/>
        </w:rPr>
        <w:t xml:space="preserve">(4) Purpose-built funded trusts</w:t>
      </w:r>
      <w:r>
        <w:rPr>
          <w:sz w:val="21"/>
          <w:szCs w:val="21"/>
        </w:rPr>
        <w:t xml:space="preserve"> (Penobscot). </w:t>
      </w:r>
      <w:r>
        <w:rPr>
          <w:b/>
          <w:bCs/>
          <w:sz w:val="21"/>
          <w:szCs w:val="21"/>
        </w:rPr>
        <w:t xml:space="preserve">(5) Municipal-reliance arguments</w:t>
      </w:r>
      <w:r>
        <w:rPr>
          <w:sz w:val="21"/>
          <w:szCs w:val="21"/>
        </w:rPr>
        <w:t xml:space="preserve"> to shape the plan (Aclara/Somersworth, upheld by the D.C. Circuit in 2025). </w:t>
      </w:r>
      <w:r>
        <w:rPr>
          <w:b/>
          <w:bCs/>
          <w:sz w:val="21"/>
          <w:szCs w:val="21"/>
        </w:rPr>
        <w:t xml:space="preserve">(6) State dam-abandonment law</w:t>
      </w:r>
      <w:r>
        <w:rPr>
          <w:sz w:val="21"/>
          <w:szCs w:val="21"/>
        </w:rPr>
        <w:t xml:space="preserve"> as backstop and trap (Bucksport, where an owner tried to hand a town a “highly encumbered” dam).</w:t>
      </w:r>
    </w:p>
    <w:p>
      <w:pPr>
        <w:spacing w:after="120"/>
      </w:pPr>
      <w:r>
        <w:rPr>
          <w:b/>
          <w:bCs/>
          <w:sz w:val="21"/>
          <w:szCs w:val="21"/>
        </w:rPr>
        <w:t xml:space="preserve">On the reopener (mechanism 3), in detail. </w:t>
      </w:r>
      <w:r>
        <w:rPr>
          <w:sz w:val="21"/>
          <w:szCs w:val="21"/>
        </w:rPr>
        <w:t xml:space="preserve">After the 2020 failures, FERC opened a rulemaking (RM21-9) on requiring financial assurance, floating three instruments — bonds, a trust/escrow/remediation fund, or dam-failure insurance — sized to risk factors (dam age, hazard class, floodplain, climate). The rulemaking stalled, so FERC began inserting a placeholder into transfer orders: the “Reservation of Authority to Require Financial Assurance Measures” article, reserving its right to require such measures later. But the article </w:t>
      </w:r>
      <w:r>
        <w:rPr>
          <w:b/>
          <w:bCs/>
          <w:sz w:val="21"/>
          <w:szCs w:val="21"/>
        </w:rPr>
        <w:t xml:space="preserve">imposes nothing on its own</w:t>
      </w:r>
      <w:r>
        <w:rPr>
          <w:sz w:val="21"/>
          <w:szCs w:val="21"/>
        </w:rPr>
        <w:t xml:space="preserve">, Commissioner Danly calls it an FPA violation, no final rule has issued, and surrender ends FERC’s jurisdiction. So the reopener is a weak backstop — the stronger move is to write an </w:t>
      </w:r>
      <w:r>
        <w:rPr>
          <w:b/>
          <w:bCs/>
          <w:sz w:val="21"/>
          <w:szCs w:val="21"/>
        </w:rPr>
        <w:t xml:space="preserve">actual instrument</w:t>
      </w:r>
      <w:r>
        <w:rPr>
          <w:sz w:val="21"/>
          <w:szCs w:val="21"/>
        </w:rPr>
        <w:t xml:space="preserve"> (bond, funded trust/escrow, or insurance) into the surrender/decommissioning order itself.</w:t>
      </w:r>
    </w:p>
    <w:p>
      <w:pPr>
        <w:spacing w:after="120"/>
      </w:pPr>
      <w:r>
        <w:rPr>
          <w:b/>
          <w:bCs/>
          <w:sz w:val="21"/>
          <w:szCs w:val="21"/>
        </w:rPr>
        <w:t xml:space="preserve">The universal rule:</w:t>
      </w:r>
      <w:r>
        <w:rPr>
          <w:sz w:val="21"/>
          <w:szCs w:val="21"/>
        </w:rPr>
        <w:t xml:space="preserve"> secure all of it </w:t>
      </w:r>
      <w:r>
        <w:rPr>
          <w:b/>
          <w:bCs/>
          <w:sz w:val="21"/>
          <w:szCs w:val="21"/>
        </w:rPr>
        <w:t xml:space="preserve">before</w:t>
      </w:r>
      <w:r>
        <w:rPr>
          <w:sz w:val="21"/>
          <w:szCs w:val="21"/>
        </w:rPr>
        <w:t xml:space="preserve"> the surrender order issues, because FERC’s jurisdiction then ends and it cannot compel new measures afterward.</w:t>
      </w:r>
    </w:p>
    <w:p>
      <w:pPr>
        <w:pStyle w:val="Heading1"/>
      </w:pPr>
      <w:r>
        <w:t xml:space="preserve">11. PPL, the Trust, and the flow of money</w:t>
      </w:r>
    </w:p>
    <w:p>
      <w:pPr>
        <w:pBdr>
          <w:left w:val="single" w:color="1F6F54" w:sz="18" w:space="8"/>
        </w:pBdr>
        <w:shd w:fill="EEF3F0" w:color="auto" w:val="clear"/>
        <w:spacing w:after="80" w:before="260"/>
      </w:pPr>
      <w:r>
        <w:rPr>
          <w:b/>
          <w:bCs/>
          <w:color w:val="1F6F54"/>
          <w:sz w:val="22"/>
          <w:szCs w:val="22"/>
        </w:rPr>
        <w:t xml:space="preserve">Q: </w:t>
      </w:r>
      <w:r>
        <w:rPr>
          <w:b/>
          <w:bCs/>
          <w:color w:val="1A1A1A"/>
          <w:sz w:val="22"/>
          <w:szCs w:val="22"/>
        </w:rPr>
        <w:t xml:space="preserve">Who is PPL — is it related to Brookfield? Who was the Trust? Was the surrendering corporation relieved of obligation? Did PPL give money to the Trust?</w:t>
      </w:r>
    </w:p>
    <w:p>
      <w:pPr>
        <w:spacing w:after="120"/>
      </w:pPr>
      <w:r>
        <w:rPr>
          <w:sz w:val="21"/>
          <w:szCs w:val="21"/>
        </w:rPr>
        <w:t xml:space="preserve">PPL Corporation is a Pennsylvania-based investor-owned utility, </w:t>
      </w:r>
      <w:r>
        <w:rPr>
          <w:b/>
          <w:bCs/>
          <w:sz w:val="21"/>
          <w:szCs w:val="21"/>
        </w:rPr>
        <w:t xml:space="preserve">unaffiliated with Brookfield</w:t>
      </w:r>
      <w:r>
        <w:rPr>
          <w:sz w:val="21"/>
          <w:szCs w:val="21"/>
        </w:rPr>
        <w:t xml:space="preserve">. The </w:t>
      </w:r>
      <w:r>
        <w:rPr>
          <w:b/>
          <w:bCs/>
          <w:sz w:val="21"/>
          <w:szCs w:val="21"/>
        </w:rPr>
        <w:t xml:space="preserve">Penobscot River Restoration Trust</w:t>
      </w:r>
      <w:r>
        <w:rPr>
          <w:sz w:val="21"/>
          <w:szCs w:val="21"/>
        </w:rPr>
        <w:t xml:space="preserve"> is a nonprofit (Penobscot Nation + conservation groups) formed to buy and remove the dams. The surrendering owner was relieved of obligation only because the license and removal duty </w:t>
      </w:r>
      <w:r>
        <w:rPr>
          <w:b/>
          <w:bCs/>
          <w:sz w:val="21"/>
          <w:szCs w:val="21"/>
        </w:rPr>
        <w:t xml:space="preserve">transferred to the funded Trust</w:t>
      </w:r>
      <w:r>
        <w:rPr>
          <w:sz w:val="21"/>
          <w:szCs w:val="21"/>
        </w:rPr>
        <w:t xml:space="preserve"> — not abandoned. On the money: it flowed </w:t>
      </w:r>
      <w:r>
        <w:rPr>
          <w:b/>
          <w:bCs/>
          <w:sz w:val="21"/>
          <w:szCs w:val="21"/>
        </w:rPr>
        <w:t xml:space="preserve">to</w:t>
      </w:r>
      <w:r>
        <w:rPr>
          <w:sz w:val="21"/>
          <w:szCs w:val="21"/>
        </w:rPr>
        <w:t xml:space="preserve"> PPL, not from it — the Trust </w:t>
      </w:r>
      <w:r>
        <w:rPr>
          <w:b/>
          <w:bCs/>
          <w:sz w:val="21"/>
          <w:szCs w:val="21"/>
        </w:rPr>
        <w:t xml:space="preserve">paid PPL ~$24M</w:t>
      </w:r>
      <w:r>
        <w:rPr>
          <w:sz w:val="21"/>
          <w:szCs w:val="21"/>
        </w:rPr>
        <w:t xml:space="preserve"> to buy the dams and raised ~$60M total (about half federal) for purchase and removal. (Note: PPL also sold its other Maine hydro to Black Bear Hydro / ArcLight, the portfolio Brookfield later came to own — the only thread connecting these names to Brookfield.)</w:t>
      </w:r>
    </w:p>
    <w:p>
      <w:pPr>
        <w:pStyle w:val="Heading1"/>
      </w:pPr>
      <w:r>
        <w:t xml:space="preserve">12. Did the owner ever help fund removal or post a bond?</w:t>
      </w:r>
    </w:p>
    <w:p>
      <w:pPr>
        <w:pBdr>
          <w:left w:val="single" w:color="1F6F54" w:sz="18" w:space="8"/>
        </w:pBdr>
        <w:shd w:fill="EEF3F0" w:color="auto" w:val="clear"/>
        <w:spacing w:after="80" w:before="260"/>
      </w:pPr>
      <w:r>
        <w:rPr>
          <w:b/>
          <w:bCs/>
          <w:color w:val="1F6F54"/>
          <w:sz w:val="22"/>
          <w:szCs w:val="22"/>
        </w:rPr>
        <w:t xml:space="preserve">Q: </w:t>
      </w:r>
      <w:r>
        <w:rPr>
          <w:b/>
          <w:bCs/>
          <w:color w:val="1A1A1A"/>
          <w:sz w:val="22"/>
          <w:szCs w:val="22"/>
        </w:rPr>
        <w:t xml:space="preserve">Are there examples where the corporate owner helped fund the removal, or bonded, to protect the town / trust / other party?</w:t>
      </w:r>
    </w:p>
    <w:p>
      <w:pPr>
        <w:spacing w:after="120"/>
      </w:pPr>
      <w:r>
        <w:rPr>
          <w:sz w:val="21"/>
          <w:szCs w:val="21"/>
        </w:rPr>
        <w:t xml:space="preserve">Yes — a spectrum. </w:t>
      </w:r>
      <w:r>
        <w:rPr>
          <w:b/>
          <w:bCs/>
          <w:sz w:val="21"/>
          <w:szCs w:val="21"/>
        </w:rPr>
        <w:t xml:space="preserve">Owner funds most of removal:</w:t>
      </w:r>
      <w:r>
        <w:rPr>
          <w:sz w:val="21"/>
          <w:szCs w:val="21"/>
        </w:rPr>
        <w:t xml:space="preserve"> at Klamath, PacifiCorp contributed </w:t>
      </w:r>
      <w:r>
        <w:rPr>
          <w:b/>
          <w:bCs/>
          <w:sz w:val="21"/>
          <w:szCs w:val="21"/>
        </w:rPr>
        <w:t xml:space="preserve">$200M</w:t>
      </w:r>
      <w:r>
        <w:rPr>
          <w:sz w:val="21"/>
          <w:szCs w:val="21"/>
        </w:rPr>
        <w:t xml:space="preserve"> (via a ratepayer surcharge in dedicated trust accounts) toward a ~$450M removal, with a hard cost cap protecting customers from overruns. </w:t>
      </w:r>
      <w:r>
        <w:rPr>
          <w:b/>
          <w:bCs/>
          <w:sz w:val="21"/>
          <w:szCs w:val="21"/>
        </w:rPr>
        <w:t xml:space="preserve">A downstream beneficiary funds it:</w:t>
      </w:r>
      <w:r>
        <w:rPr>
          <w:sz w:val="21"/>
          <w:szCs w:val="21"/>
        </w:rPr>
        <w:t xml:space="preserve"> at Edwards Dam (1999), Bath Iron Works paid much of the cost as environmental mitigation. </w:t>
      </w:r>
      <w:r>
        <w:rPr>
          <w:b/>
          <w:bCs/>
          <w:sz w:val="21"/>
          <w:szCs w:val="21"/>
        </w:rPr>
        <w:t xml:space="preserve">Buyer brings a capital reserve:</w:t>
      </w:r>
      <w:r>
        <w:rPr>
          <w:sz w:val="21"/>
          <w:szCs w:val="21"/>
        </w:rPr>
        <w:t xml:space="preserve"> the 2025 Kennebec deal includes a capital reserve for the new trust (though Brookfield is the seller receiving value, committing to operate during transition). </w:t>
      </w:r>
      <w:r>
        <w:rPr>
          <w:b/>
          <w:bCs/>
          <w:sz w:val="21"/>
          <w:szCs w:val="21"/>
        </w:rPr>
        <w:t xml:space="preserve">Owner pays nothing:</w:t>
      </w:r>
      <w:r>
        <w:rPr>
          <w:sz w:val="21"/>
          <w:szCs w:val="21"/>
        </w:rPr>
        <w:t xml:space="preserve"> Penobscot — the floor. </w:t>
      </w:r>
    </w:p>
    <w:p>
      <w:pPr>
        <w:spacing w:after="120"/>
      </w:pPr>
      <w:r>
        <w:rPr>
          <w:sz w:val="21"/>
          <w:szCs w:val="21"/>
        </w:rPr>
        <w:t xml:space="preserve">Takeaway: owner contribution is precedented and negotiable. Strongest protections combine an owner/parent contribution or surety sized to an engineer’s removal estimate, a hard cost cap or indemnity, and transfer only to a pre-funded successor. One caveat: Klamath’s money came from </w:t>
      </w:r>
      <w:r>
        <w:rPr>
          <w:b/>
          <w:bCs/>
          <w:sz w:val="21"/>
          <w:szCs w:val="21"/>
        </w:rPr>
        <w:t xml:space="preserve">ratepayers</w:t>
      </w:r>
      <w:r>
        <w:rPr>
          <w:sz w:val="21"/>
          <w:szCs w:val="21"/>
        </w:rPr>
        <w:t xml:space="preserve"> via a regulated utility — a mechanism Brookfield (a merchant generator) lacks, so any Brookfield contribution would more likely take the form of a direct corporate/parent contribution or surety bond than a ratepayer fund.</w:t>
      </w:r>
    </w:p>
    <w:p>
      <w:pPr>
        <w:pStyle w:val="Heading1"/>
      </w:pPr>
      <w:r>
        <w:t xml:space="preserve">13. The Kennebec cost-avoidance, in detail</w:t>
      </w:r>
    </w:p>
    <w:p>
      <w:pPr>
        <w:pBdr>
          <w:left w:val="single" w:color="1F6F54" w:sz="18" w:space="8"/>
        </w:pBdr>
        <w:shd w:fill="EEF3F0" w:color="auto" w:val="clear"/>
        <w:spacing w:after="80" w:before="260"/>
      </w:pPr>
      <w:r>
        <w:rPr>
          <w:b/>
          <w:bCs/>
          <w:color w:val="1F6F54"/>
          <w:sz w:val="22"/>
          <w:szCs w:val="22"/>
        </w:rPr>
        <w:t xml:space="preserve">Q: </w:t>
      </w:r>
      <w:r>
        <w:rPr>
          <w:b/>
          <w:bCs/>
          <w:color w:val="1A1A1A"/>
          <w:sz w:val="22"/>
          <w:szCs w:val="22"/>
        </w:rPr>
        <w:t xml:space="preserve">Provide more information on the Kennebec cost avoidance.</w:t>
      </w:r>
    </w:p>
    <w:p>
      <w:pPr>
        <w:spacing w:after="120"/>
      </w:pPr>
      <w:r>
        <w:rPr>
          <w:b/>
          <w:bCs/>
          <w:sz w:val="21"/>
          <w:szCs w:val="21"/>
        </w:rPr>
        <w:t xml:space="preserve">What Brookfield faced. </w:t>
      </w:r>
      <w:r>
        <w:rPr>
          <w:sz w:val="21"/>
          <w:szCs w:val="21"/>
        </w:rPr>
        <w:t xml:space="preserve">The Shawmut Dam (FERC No. 2322) entered relicensing in 2020 when its 40-year license expired (Jan 31, 2021). A new 40-year license required a Maine DEP Section 401 water-quality certification — which became the chokepoint. The direct hardware cost was modest: FERC estimated upgrading Shawmut’s fish passage at </w:t>
      </w:r>
      <w:r>
        <w:rPr>
          <w:b/>
          <w:bCs/>
          <w:sz w:val="21"/>
          <w:szCs w:val="21"/>
        </w:rPr>
        <w:t xml:space="preserve">~$6.3M</w:t>
      </w:r>
      <w:r>
        <w:rPr>
          <w:sz w:val="21"/>
          <w:szCs w:val="21"/>
        </w:rPr>
        <w:t xml:space="preserve">, of which ~$4.8M could come from Bipartisan Infrastructure Law funding. The real exposure was far larger than that number.</w:t>
      </w:r>
    </w:p>
    <w:p>
      <w:pPr>
        <w:spacing w:after="120"/>
      </w:pPr>
      <w:r>
        <w:rPr>
          <w:b/>
          <w:bCs/>
          <w:sz w:val="21"/>
          <w:szCs w:val="21"/>
        </w:rPr>
        <w:t xml:space="preserve">Why the true cost dwarfed $6.3M. </w:t>
      </w:r>
      <w:r>
        <w:rPr>
          <w:sz w:val="21"/>
          <w:szCs w:val="21"/>
        </w:rPr>
        <w:t xml:space="preserve">Three things stacked up. </w:t>
      </w:r>
      <w:r>
        <w:rPr>
          <w:b/>
          <w:bCs/>
          <w:sz w:val="21"/>
          <w:szCs w:val="21"/>
        </w:rPr>
        <w:t xml:space="preserve">(1) Standards, not just hardware:</w:t>
      </w:r>
      <w:r>
        <w:rPr>
          <w:sz w:val="21"/>
          <w:szCs w:val="21"/>
        </w:rPr>
        <w:t xml:space="preserve"> Maine DMR wanted a nature-like fishway Brookfield called cost-prohibitive; Brookfield wanted a fish lift. DEP adopted fish-passage </w:t>
      </w:r>
      <w:r>
        <w:rPr>
          <w:i/>
          <w:iCs/>
          <w:sz w:val="21"/>
          <w:szCs w:val="21"/>
        </w:rPr>
        <w:t xml:space="preserve">performance</w:t>
      </w:r>
      <w:r>
        <w:rPr>
          <w:sz w:val="21"/>
          <w:szCs w:val="21"/>
        </w:rPr>
        <w:t xml:space="preserve"> standards Brookfield deemed “unattainable” — meaning it could spend the money and still fail certification. </w:t>
      </w:r>
      <w:r>
        <w:rPr>
          <w:b/>
          <w:bCs/>
          <w:sz w:val="21"/>
          <w:szCs w:val="21"/>
        </w:rPr>
        <w:t xml:space="preserve">(2) Multi-dam, fleet-wide precedent:</w:t>
      </w:r>
      <w:r>
        <w:rPr>
          <w:sz w:val="21"/>
          <w:szCs w:val="21"/>
        </w:rPr>
        <w:t xml:space="preserve"> the proceedings covered all four lower Kennebec dams; Brookfield warned that the same requirements imposed elsewhere could “threaten the continued operation” of its other dams. The math drove the logic — the four dams produce only </w:t>
      </w:r>
      <w:r>
        <w:rPr>
          <w:b/>
          <w:bCs/>
          <w:sz w:val="21"/>
          <w:szCs w:val="21"/>
        </w:rPr>
        <w:t xml:space="preserve">~47 MW of Brookfield’s 615 MW</w:t>
      </w:r>
      <w:r>
        <w:rPr>
          <w:sz w:val="21"/>
          <w:szCs w:val="21"/>
        </w:rPr>
        <w:t xml:space="preserve"> in Maine (~0.43% of state electricity), not worth an open-ended fight that could set precedent across a fleet supplying ~90% of Maine’s hydropower. </w:t>
      </w:r>
      <w:r>
        <w:rPr>
          <w:b/>
          <w:bCs/>
          <w:sz w:val="21"/>
          <w:szCs w:val="21"/>
        </w:rPr>
        <w:t xml:space="preserve">(3) Litigation and delay:</w:t>
      </w:r>
      <w:r>
        <w:rPr>
          <w:sz w:val="21"/>
          <w:szCs w:val="21"/>
        </w:rPr>
        <w:t xml:space="preserve"> Brookfield sued the DMR and DEP, lost at the Somerset County Superior Court (Jan 2024) and the D.C. Circuit (July 2024), and defended an Endangered Species Act suit — years of spend with no certification to show.</w:t>
      </w:r>
    </w:p>
    <w:p>
      <w:pPr>
        <w:spacing w:after="120"/>
      </w:pPr>
      <w:r>
        <w:rPr>
          <w:b/>
          <w:bCs/>
          <w:sz w:val="21"/>
          <w:szCs w:val="21"/>
        </w:rPr>
        <w:t xml:space="preserve">How the sale avoids all of it. </w:t>
      </w:r>
      <w:r>
        <w:rPr>
          <w:sz w:val="21"/>
          <w:szCs w:val="21"/>
        </w:rPr>
        <w:t xml:space="preserve">When DEP issued a draft approval still requiring extensive fish-passage improvements (Oct 2025), Brookfield </w:t>
      </w:r>
      <w:r>
        <w:rPr>
          <w:b/>
          <w:bCs/>
          <w:sz w:val="21"/>
          <w:szCs w:val="21"/>
        </w:rPr>
        <w:t xml:space="preserve">withdrew its water-quality applications for all four dams</w:t>
      </w:r>
      <w:r>
        <w:rPr>
          <w:sz w:val="21"/>
          <w:szCs w:val="21"/>
        </w:rPr>
        <w:t xml:space="preserve">, calling the conditions too burdensome and citing the “complicated, expensive licensing process” as a major influence on both the withdrawal and the sale. Its logic: because TNC plans to remove the dams within a decade, fish-passage upgrades were “moot.” So instead of paying for fishways it might never get credit for, Brookfield exits — and the far larger </w:t>
      </w:r>
      <w:r>
        <w:rPr>
          <w:b/>
          <w:bCs/>
          <w:sz w:val="21"/>
          <w:szCs w:val="21"/>
        </w:rPr>
        <w:t xml:space="preserve">removal cost</w:t>
      </w:r>
      <w:r>
        <w:rPr>
          <w:sz w:val="21"/>
          <w:szCs w:val="21"/>
        </w:rPr>
        <w:t xml:space="preserve"> (part of the ~$140M TNC must still raise to operate and remove the dams) passes to TNC and the new trust.</w:t>
      </w:r>
    </w:p>
    <w:p>
      <w:pPr>
        <w:spacing w:after="120"/>
      </w:pPr>
      <w:r>
        <w:rPr>
          <w:b/>
          <w:bCs/>
          <w:sz w:val="21"/>
          <w:szCs w:val="21"/>
        </w:rPr>
        <w:t xml:space="preserve">Brookfield’s framing vs. the state’s. </w:t>
      </w:r>
      <w:r>
        <w:rPr>
          <w:sz w:val="21"/>
          <w:szCs w:val="21"/>
        </w:rPr>
        <w:t xml:space="preserve">In its Oct 16, 2025 letter, Brookfield said the standards “conflicted with state law, would be prohibitively expensive… and were ‘arguably unattainable,’” and that a motivating factor for the sale was “the increasingly complex, expensive and uncertain regulatory landscape.” Maine DEP said it was “taken aback” and “strongly disagrees,” noting the standards incorporated federally recommended endangered-species requirements.</w:t>
      </w:r>
    </w:p>
    <w:p>
      <w:pPr>
        <w:spacing w:after="120"/>
      </w:pPr>
      <w:r>
        <w:rPr>
          <w:b/>
          <w:bCs/>
          <w:sz w:val="21"/>
          <w:szCs w:val="21"/>
        </w:rPr>
        <w:t xml:space="preserve">Three layers of cost avoided — and the Bar Mills through-line. </w:t>
      </w:r>
      <w:r>
        <w:rPr>
          <w:sz w:val="21"/>
          <w:szCs w:val="21"/>
        </w:rPr>
        <w:t xml:space="preserve">It helps to separate (a) the modest direct fishway cost (~$6.3M at Shawmut), (b) the large </w:t>
      </w:r>
      <w:r>
        <w:rPr>
          <w:i/>
          <w:iCs/>
          <w:sz w:val="21"/>
          <w:szCs w:val="21"/>
        </w:rPr>
        <w:t xml:space="preserve">avoided removal cost</w:t>
      </w:r>
      <w:r>
        <w:rPr>
          <w:sz w:val="21"/>
          <w:szCs w:val="21"/>
        </w:rPr>
        <w:t xml:space="preserve"> Brookfield never wanted to bear (now TNC’s), and (c) the </w:t>
      </w:r>
      <w:r>
        <w:rPr>
          <w:i/>
          <w:iCs/>
          <w:sz w:val="21"/>
          <w:szCs w:val="21"/>
        </w:rPr>
        <w:t xml:space="preserve">avoided open-ended regulatory and fleet-precedent risk</w:t>
      </w:r>
      <w:r>
        <w:rPr>
          <w:sz w:val="21"/>
          <w:szCs w:val="21"/>
        </w:rPr>
        <w:t xml:space="preserve"> — likely the real driver, given the 47-of-615 MW math. The same pattern underlies Bar Mills: a low-value asset facing high regulatory/decommissioning cost, exited by Brookfield — the open question being who holds the expensive end. At the Kennebec it is a well-funded conservancy; at Bar Mills the concern is that it could be the town of Hollis.</w:t>
      </w:r>
    </w:p>
    <w:p>
      <w:pPr>
        <w:pStyle w:val="Heading1"/>
      </w:pPr>
      <w:r>
        <w:t xml:space="preserve">Deliverables produced in this thread</w:t>
      </w:r>
    </w:p>
    <w:p>
      <w:pPr>
        <w:spacing w:after="120"/>
      </w:pPr>
      <w:r>
        <w:rPr>
          <w:sz w:val="21"/>
          <w:szCs w:val="21"/>
        </w:rPr>
        <w:t xml:space="preserve">• Asset-sales summary (Brookfield Renewable, 2024–25).</w:t>
      </w:r>
    </w:p>
    <w:p>
      <w:pPr>
        <w:spacing w:after="120"/>
      </w:pPr>
      <w:r>
        <w:rPr>
          <w:sz w:val="21"/>
          <w:szCs w:val="21"/>
        </w:rPr>
        <w:t xml:space="preserve">• US asset-disposals ledger with locations, 2015–2025 (landscape; hydro highlighted; Smoky Mountain identified; includes the FERC decommissioning cases, the Bar Mills risk analysis, comparable-case precedents, the novel-approaches toolkit, and the owner-funding spectrum).</w:t>
      </w:r>
    </w:p>
    <w:p>
      <w:pPr>
        <w:spacing w:after="120"/>
      </w:pPr>
      <w:r>
        <w:rPr>
          <w:sz w:val="21"/>
          <w:szCs w:val="21"/>
        </w:rPr>
        <w:t xml:space="preserve">• This discussion-thread record.</w:t>
      </w:r>
    </w:p>
    <w:p>
      <w:pPr>
        <w:spacing w:before="240"/>
      </w:pPr>
      <w:r>
        <w:rPr>
          <w:i/>
          <w:iCs/>
          <w:color w:val="595959"/>
          <w:sz w:val="17"/>
          <w:szCs w:val="17"/>
        </w:rPr>
        <w:t xml:space="preserve">Open thread, if useful: the current docket status of the Bar Mills surrender (FERC P-2194) — whether the Surrender Application has actually been filed yet — determines how much of the comment window remains open for seeking the financial-assurance conditions described above. Kennebec cost-avoidance detail draws on Press Herald, Bangor Daily News, Maine Public, Central Maine, The Maine Monitor, NewsCenter Maine, and Maine DEP records (Shawmut WQC, FERC No. 2322). Sources for all other findings are listed in full in the ledger document. Informational summary, not legal or investment advice.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1F6F54" w:sz="4" w:space="4"/>
      </w:pBdr>
      <w:spacing w:after="140" w:before="320"/>
      <w:outlineLvl w:val="0"/>
    </w:pPr>
    <w:rPr>
      <w:rFonts w:ascii="Arial" w:cs="Arial" w:eastAsia="Arial" w:hAnsi="Arial"/>
      <w:b/>
      <w:bCs/>
      <w:color w:val="1F6F54"/>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2026-06-25T17:02:25.676Z</dcterms:created>
  <dcterms:modified xsi:type="dcterms:W3CDTF">2026-06-25T17:02:25.691Z</dcterms:modified>
</cp:coreProperties>
</file>

<file path=docProps/custom.xml><?xml version="1.0" encoding="utf-8"?>
<Properties xmlns="http://schemas.openxmlformats.org/officeDocument/2006/custom-properties" xmlns:vt="http://schemas.openxmlformats.org/officeDocument/2006/docPropsVTypes"/>
</file>