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6F54"/>
          <w:sz w:val="36"/>
          <w:szCs w:val="36"/>
        </w:rPr>
        <w:t xml:space="preserve">Brookfield Renewable</w:t>
      </w:r>
    </w:p>
    <w:p>
      <w:pPr>
        <w:spacing w:after="60"/>
      </w:pPr>
      <w:r>
        <w:rPr>
          <w:b/>
          <w:bCs/>
          <w:color w:val="1A1A1A"/>
          <w:sz w:val="26"/>
          <w:szCs w:val="26"/>
        </w:rPr>
        <w:t xml:space="preserve">US Asset Disposals — Ledger with Locations, 2015–2025</w:t>
      </w:r>
    </w:p>
    <w:p>
      <w:pPr>
        <w:spacing w:after="180"/>
      </w:pPr>
      <w:r>
        <w:rPr>
          <w:i/>
          <w:iCs/>
          <w:color w:val="595959"/>
          <w:sz w:val="18"/>
          <w:szCs w:val="18"/>
        </w:rPr>
        <w:t xml:space="preserve">US-located disposals, including orphaned / non-core sales. Locations are as named in filings and contemporaneous reporting; “not disclosed” means the company did not specify states or sites. Compiled June 2026.</w:t>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13680"/>
      </w:tblGrid>
      <w:tr>
        <w:tc>
          <w:tcPr>
            <w:tcBorders>
              <w:top w:val="single" w:color="E2D2A0" w:sz="1"/>
              <w:left w:val="single" w:color="8A6D1F" w:sz="24"/>
              <w:bottom w:val="single" w:color="E2D2A0" w:sz="1"/>
              <w:right w:val="single" w:color="E2D2A0" w:sz="1"/>
            </w:tcBorders>
            <w:shd w:fill="FBF3DE" w:val="clear"/>
            <w:tcMar>
              <w:top w:type="dxa" w:w="120"/>
              <w:left w:type="dxa" w:w="180"/>
              <w:bottom w:type="dxa" w:w="120"/>
              <w:right w:type="dxa" w:w="180"/>
            </w:tcMar>
          </w:tcPr>
          <w:p>
            <w:pPr>
              <w:spacing w:after="60"/>
            </w:pPr>
            <w:r>
              <w:rPr>
                <w:b/>
                <w:bCs/>
                <w:color w:val="6B5410"/>
                <w:sz w:val="19"/>
                <w:szCs w:val="19"/>
              </w:rPr>
              <w:t xml:space="preserve">◆  HYDRO SPOTLIGHT — IDENTIFIED</w:t>
            </w:r>
          </w:p>
          <w:p>
            <w:r>
              <w:rPr>
                <w:color w:val="1A1A1A"/>
                <w:sz w:val="19"/>
                <w:szCs w:val="19"/>
              </w:rPr>
              <w:t xml:space="preserve">The two large hydro portfolios both resolve to the same asset: </w:t>
            </w:r>
            <w:r>
              <w:rPr>
                <w:b/>
                <w:bCs/>
                <w:color w:val="1A1A1A"/>
                <w:sz w:val="19"/>
                <w:szCs w:val="19"/>
              </w:rPr>
              <w:t xml:space="preserve">Smoky Mountain (formerly Tapoco)</w:t>
            </w:r>
            <w:r>
              <w:rPr>
                <w:color w:val="1A1A1A"/>
                <w:sz w:val="19"/>
                <w:szCs w:val="19"/>
              </w:rPr>
              <w:t xml:space="preserve"> — four dams (Cheoah, Santeetlah, Calderwood, Chilhowee) on the Little Tennessee and Cheoah Rivers across east Tennessee and western North Carolina, FERC Project No. 2169. Brookfield bought it from Alcoa for $600M in 2012, sold 50% to </w:t>
            </w:r>
            <w:r>
              <w:rPr>
                <w:b/>
                <w:bCs/>
                <w:color w:val="1A1A1A"/>
                <w:sz w:val="19"/>
                <w:szCs w:val="19"/>
              </w:rPr>
              <w:t xml:space="preserve">Argo Infrastructure Partners in 2023</w:t>
            </w:r>
            <w:r>
              <w:rPr>
                <w:color w:val="1A1A1A"/>
                <w:sz w:val="19"/>
                <w:szCs w:val="19"/>
              </w:rPr>
              <w:t xml:space="preserve">, and sold the remaining 50% across 2025–early 2026 to fully exit. “Non-core” reflects portfolio fit, not asset quality: Smoky signed a 10-year TVA offtake (2024) and supports a $435M private placement (2025). The </w:t>
            </w:r>
            <w:r>
              <w:rPr>
                <w:b/>
                <w:bCs/>
                <w:color w:val="1A1A1A"/>
                <w:sz w:val="19"/>
                <w:szCs w:val="19"/>
              </w:rPr>
              <w:t xml:space="preserve">30 MW plant (2024)</w:t>
            </w:r>
            <w:r>
              <w:rPr>
                <w:color w:val="1A1A1A"/>
                <w:sz w:val="19"/>
                <w:szCs w:val="19"/>
              </w:rPr>
              <w:t xml:space="preserve"> remains unidentified by state. None was sold at a loss.</w:t>
            </w:r>
          </w:p>
        </w:tc>
      </w:tr>
    </w:tbl>
    <w:p>
      <w:pPr>
        <w:spacing w:after="140"/>
      </w:pPr>
      <w:r>
        <w:rPr>
          <w:sz w:val="10"/>
          <w:szCs w:val="10"/>
        </w:rPr>
        <w:t xml:space="preserve"/>
      </w:r>
    </w:p>
    <w:tbl>
      <w:tblPr>
        <w:tblW w:type="dxa" w:w="13680"/>
        <w:tblBorders>
          <w:top w:val="single" w:color="auto" w:sz="4"/>
          <w:left w:val="single" w:color="auto" w:sz="4"/>
          <w:bottom w:val="single" w:color="auto" w:sz="4"/>
          <w:right w:val="single" w:color="auto" w:sz="4"/>
          <w:insideH w:val="single" w:color="auto" w:sz="4"/>
          <w:insideV w:val="single" w:color="auto" w:sz="4"/>
        </w:tblBorders>
      </w:tblPr>
      <w:tblGrid>
        <w:gridCol w:w="820"/>
        <w:gridCol w:w="3100"/>
        <w:gridCol w:w="3900"/>
        <w:gridCol w:w="2660"/>
        <w:gridCol w:w="3200"/>
      </w:tblGrid>
      <w:tr>
        <w:trPr>
          <w:tblHeader/>
        </w:trPr>
        <w:tc>
          <w:tcPr>
            <w:tcW w:type="dxa" w:w="82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Year</w:t>
            </w:r>
          </w:p>
        </w:tc>
        <w:tc>
          <w:tcPr>
            <w:tcW w:type="dxa" w:w="31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Asset &amp; capacity</w:t>
            </w:r>
          </w:p>
        </w:tc>
        <w:tc>
          <w:tcPr>
            <w:tcW w:type="dxa" w:w="39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Location (as disclosed / identified)</w:t>
            </w:r>
          </w:p>
        </w:tc>
        <w:tc>
          <w:tcPr>
            <w:tcW w:type="dxa" w:w="266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Buyer</w:t>
            </w:r>
          </w:p>
        </w:tc>
        <w:tc>
          <w:tcPr>
            <w:tcW w:type="dxa" w:w="3200"/>
            <w:tcBorders>
              <w:top w:val="single" w:color="CCCCCC" w:sz="1"/>
              <w:left w:val="single" w:color="CCCCCC" w:sz="1"/>
              <w:bottom w:val="single" w:color="CCCCCC" w:sz="1"/>
              <w:right w:val="single" w:color="CCCCCC" w:sz="1"/>
            </w:tcBorders>
            <w:shd w:fill="1F6F54" w:val="clear"/>
            <w:tcMar>
              <w:top w:type="dxa" w:w="60"/>
              <w:left w:type="dxa" w:w="90"/>
              <w:bottom w:type="dxa" w:w="60"/>
              <w:right w:type="dxa" w:w="90"/>
            </w:tcMar>
          </w:tcPr>
          <w:p>
            <w:r>
              <w:rPr>
                <w:b/>
                <w:bCs/>
                <w:color w:val="FFFFFF"/>
                <w:sz w:val="15"/>
                <w:szCs w:val="15"/>
              </w:rPr>
              <w:t xml:space="preserve">Gain / loss &amp; notes</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2015</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facility — 102 MW</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California</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Third party (not named in filing)</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Gain $53M ($12M net). BEP held 22%.</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2016</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Acquisition year (Isagen; Holtwood/Pennsylvania hydro).</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2017</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Acquired 51% of TerraForm Power.</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2018</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Raised TerraForm stake to 65%.</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2019</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 none identified</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Disposals were Europe / Asia / South Africa.</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2020</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Wind portfolio — 852 MW (40% interest)</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(states not disclosed; TerraForm-era assets)</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Not disclosed in filing</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FFO impact $15M, 760 GWh. Blended w/ Ireland.</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2021</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portfolio — 391 MW (4 farms)</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California (Alta Wind VIII 150 MW, Windstar 120 MW, Coram 22 MW) + New Hampshire (Granite 99 MW)</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NextEra Energy Partners</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Mature onshore wind; ~2x invested capital.</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2022</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none in US</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 (US held-for-sale building up)</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Year's disposals were Asia solar (19 MW).</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2023 Q1</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378 MW Smoky Mountain (78% interest)</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TN &amp; NC — Cheoah, Santeetlah, Calderwood, Chilhowee dams (Little Tennessee / Cheoah Rivers; FERC P-2169)</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Argo Infrastructure Partners (50%) + Brookfield Corp affiliates (28%)</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Deconsolidated. BEP kept 22%, no proceeds.</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2023 Q2</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assets (acquired 2022)</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(not further specified)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Quick resale of recently acquired wind.</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2024 Q2</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30 MW asset</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United States (single plant; state not disclosed)</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3rd party + institutional partners</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Gain $29M ($6M net). Sold above book.</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2024 Q2</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Battery storage — 60 MW</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(state not disclosed)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3rd party + institutional partners</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Gain $5M ($2M net).</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2024</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Wind — 845 MW (partial; Shepherds Flat)</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Oregon (repowered onshore wind)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Institutional buyer (50% across 2024–25)</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One of largest US wind repowerings.</w:t>
            </w:r>
          </w:p>
        </w:tc>
      </w:tr>
      <w:tr>
        <w:tc>
          <w:tcPr>
            <w:tcW w:type="dxa" w:w="820"/>
            <w:tcBorders>
              <w:top w:val="single" w:color="CCCCCC" w:sz="1"/>
              <w:left w:val="single" w:color="8A6D1F" w:sz="18"/>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2025–26</w:t>
            </w:r>
          </w:p>
        </w:tc>
        <w:tc>
          <w:tcPr>
            <w:tcW w:type="dxa" w:w="31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bCs/>
                <w:color w:val="6B5410"/>
                <w:sz w:val="15"/>
                <w:szCs w:val="15"/>
              </w:rPr>
              <w:t xml:space="preserve">◆ HYDRO — 403 MW Smoky Mountain, remaining 50%</w:t>
            </w:r>
          </w:p>
        </w:tc>
        <w:tc>
          <w:tcPr>
            <w:tcW w:type="dxa" w:w="39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TN &amp; NC — same four dams as 2023 (full exit of the system)</w:t>
            </w:r>
          </w:p>
        </w:tc>
        <w:tc>
          <w:tcPr>
            <w:tcW w:type="dxa" w:w="266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3rd party (25%) + BAM-managed fund (25%)</w:t>
            </w:r>
          </w:p>
        </w:tc>
        <w:tc>
          <w:tcPr>
            <w:tcW w:type="dxa" w:w="3200"/>
            <w:tcBorders>
              <w:top w:val="single" w:color="CCCCCC" w:sz="1"/>
              <w:left w:val="single" w:color="CCCCCC" w:sz="1"/>
              <w:bottom w:val="single" w:color="CCCCCC" w:sz="1"/>
              <w:right w:val="single" w:color="CCCCCC" w:sz="1"/>
            </w:tcBorders>
            <w:shd w:fill="FBF3DE" w:val="clear"/>
            <w:tcMar>
              <w:top w:type="dxa" w:w="60"/>
              <w:left w:type="dxa" w:w="90"/>
              <w:bottom w:type="dxa" w:w="60"/>
              <w:right w:type="dxa" w:w="90"/>
            </w:tcMar>
          </w:tcPr>
          <w:p>
            <w:r>
              <w:rPr>
                <w:b w:val="false"/>
                <w:bCs w:val="false"/>
                <w:color w:val="1A1A1A"/>
                <w:sz w:val="15"/>
                <w:szCs w:val="15"/>
              </w:rPr>
              <w:t xml:space="preserve">“Non-core” = portfolio fit, not quality. TVA PPA + $435M financing in place.</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Distributed generation — 700 MW</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(multi-site; Luminace-related)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3rd party (47%) + BAM-managed fund (53%)</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Part of majority Luminace exit.</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Solar portfolio — 833 MWdc (613 MWac)</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(sites not disclosed)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Agreed subsequent to Q3 2025.</w:t>
            </w:r>
          </w:p>
        </w:tc>
      </w:tr>
      <w:tr>
        <w:tc>
          <w:tcPr>
            <w:tcW w:type="dxa" w:w="82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2025</w:t>
            </w:r>
          </w:p>
        </w:tc>
        <w:tc>
          <w:tcPr>
            <w:tcW w:type="dxa" w:w="31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Solar — Deriva platform</w:t>
            </w:r>
          </w:p>
        </w:tc>
        <w:tc>
          <w:tcPr>
            <w:tcW w:type="dxa" w:w="39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United States (sites not disclosed)</w:t>
            </w:r>
          </w:p>
        </w:tc>
        <w:tc>
          <w:tcPr>
            <w:tcW w:type="dxa" w:w="266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Not disclosed</w:t>
            </w:r>
          </w:p>
        </w:tc>
        <w:tc>
          <w:tcPr>
            <w:tcW w:type="dxa" w:w="3200"/>
            <w:tcBorders>
              <w:top w:val="single" w:color="CCCCCC" w:sz="1"/>
              <w:left w:val="single" w:color="CCCCCC" w:sz="1"/>
              <w:bottom w:val="single" w:color="CCCCCC" w:sz="1"/>
              <w:right w:val="single" w:color="CCCCCC" w:sz="1"/>
            </w:tcBorders>
            <w:tcMar>
              <w:top w:type="dxa" w:w="60"/>
              <w:left w:type="dxa" w:w="90"/>
              <w:bottom w:type="dxa" w:w="60"/>
              <w:right w:type="dxa" w:w="90"/>
            </w:tcMar>
          </w:tcPr>
          <w:p>
            <w:r>
              <w:rPr>
                <w:color w:val="1A1A1A"/>
                <w:sz w:val="15"/>
                <w:szCs w:val="15"/>
              </w:rPr>
              <w:t xml:space="preserve">~$400M ($70M net). Closed Q1 2026.</w:t>
            </w:r>
          </w:p>
        </w:tc>
      </w:tr>
      <w:tr>
        <w:tc>
          <w:tcPr>
            <w:tcW w:type="dxa" w:w="82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2025–26</w:t>
            </w:r>
          </w:p>
        </w:tc>
        <w:tc>
          <w:tcPr>
            <w:tcW w:type="dxa" w:w="31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Wind &amp; solar — ~2,300 MW (two-thirds)</w:t>
            </w:r>
          </w:p>
        </w:tc>
        <w:tc>
          <w:tcPr>
            <w:tcW w:type="dxa" w:w="39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United States (dev-platform-built; sites not disclosed)</w:t>
            </w:r>
          </w:p>
        </w:tc>
        <w:tc>
          <w:tcPr>
            <w:tcW w:type="dxa" w:w="266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Buyer consortium (framework w/ recurring sales)</w:t>
            </w:r>
          </w:p>
        </w:tc>
        <w:tc>
          <w:tcPr>
            <w:tcW w:type="dxa" w:w="3200"/>
            <w:tcBorders>
              <w:top w:val="single" w:color="CCCCCC" w:sz="1"/>
              <w:left w:val="single" w:color="CCCCCC" w:sz="1"/>
              <w:bottom w:val="single" w:color="CCCCCC" w:sz="1"/>
              <w:right w:val="single" w:color="CCCCCC" w:sz="1"/>
            </w:tcBorders>
            <w:shd w:fill="EEF3F0" w:val="clear"/>
            <w:tcMar>
              <w:top w:type="dxa" w:w="60"/>
              <w:left w:type="dxa" w:w="90"/>
              <w:bottom w:type="dxa" w:w="60"/>
              <w:right w:type="dxa" w:w="90"/>
            </w:tcMar>
          </w:tcPr>
          <w:p>
            <w:r>
              <w:rPr>
                <w:color w:val="1A1A1A"/>
                <w:sz w:val="15"/>
                <w:szCs w:val="15"/>
              </w:rPr>
              <w:t xml:space="preserve">Closes H1 2026; +$1.5B future framework.</w:t>
            </w:r>
          </w:p>
        </w:tc>
      </w:tr>
    </w:tbl>
    <w:p>
      <w:pPr>
        <w:spacing w:after="160" w:before="80"/>
      </w:pPr>
      <w:r>
        <w:rPr>
          <w:i/>
          <w:iCs/>
          <w:color w:val="595959"/>
          <w:sz w:val="15"/>
          <w:szCs w:val="15"/>
        </w:rPr>
        <w:t xml:space="preserve">Amber rows (◆) = hydro disposals. “BAM-managed fund” = a private fund managed by Brookfield Asset Management (an affiliate); such partial sales are stated to be at the same value agreed with the unaffiliated third party. Ranges reflect figures refined between quarterly filings.</w:t>
      </w:r>
    </w:p>
    <w:p>
      <w:pPr>
        <w:pStyle w:val="Heading1"/>
      </w:pPr>
      <w:r>
        <w:t xml:space="preserve">Notes on location disclosure</w:t>
      </w:r>
    </w:p>
    <w:p>
      <w:pPr>
        <w:spacing w:after="120"/>
      </w:pPr>
      <w:r>
        <w:rPr>
          <w:sz w:val="20"/>
          <w:szCs w:val="20"/>
        </w:rPr>
        <w:t xml:space="preserve">A key finding for your geographic focus: Brookfield discloses asset </w:t>
      </w:r>
      <w:r>
        <w:rPr>
          <w:b/>
          <w:bCs/>
          <w:sz w:val="20"/>
          <w:szCs w:val="20"/>
        </w:rPr>
        <w:t xml:space="preserve">location only sparingly</w:t>
      </w:r>
      <w:r>
        <w:rPr>
          <w:sz w:val="20"/>
          <w:szCs w:val="20"/>
        </w:rPr>
        <w:t xml:space="preserve"> in its own filings. The disposal notes almost always read simply “in the U.S.” without naming states, rivers, or plants. Where precise locations appear in this ledger, they generally come from the </w:t>
      </w:r>
      <w:r>
        <w:rPr>
          <w:i/>
          <w:iCs/>
          <w:sz w:val="20"/>
          <w:szCs w:val="20"/>
        </w:rPr>
        <w:t xml:space="preserve">buyer’s</w:t>
      </w:r>
      <w:r>
        <w:rPr>
          <w:sz w:val="20"/>
          <w:szCs w:val="20"/>
        </w:rPr>
        <w:t xml:space="preserve"> disclosure or trade-press coverage, not Brookfield’s. The standout example is the 2021 sale to NextEra, which named all four wind farms and their states.</w:t>
      </w:r>
    </w:p>
    <w:p>
      <w:pPr>
        <w:pStyle w:val="Heading2"/>
      </w:pPr>
      <w:r>
        <w:t xml:space="preserve">Where locations are firmly established</w:t>
      </w:r>
    </w:p>
    <w:p>
      <w:pPr>
        <w:spacing w:after="120"/>
      </w:pPr>
      <w:r>
        <w:rPr>
          <w:sz w:val="20"/>
          <w:szCs w:val="20"/>
        </w:rPr>
        <w:t xml:space="preserve">2021 — 391 MW wind to NextEra Energy Partners ($733M): </w:t>
      </w:r>
      <w:r>
        <w:rPr>
          <w:b/>
          <w:bCs/>
          <w:sz w:val="20"/>
          <w:szCs w:val="20"/>
        </w:rPr>
        <w:t xml:space="preserve">Alta Wind VIII (150 MW), Windstar (120 MW) and Coram (22 MW) in California, plus Granite (99 MW) in New Hampshire.</w:t>
      </w:r>
      <w:r>
        <w:rPr>
          <w:sz w:val="20"/>
          <w:szCs w:val="20"/>
        </w:rPr>
        <w:t xml:space="preserve"> This is the most geographically precise US disposal on record. 2024–25 — the 845 MW Shepherds Flat wind sits in </w:t>
      </w:r>
      <w:r>
        <w:rPr>
          <w:b/>
          <w:bCs/>
          <w:sz w:val="20"/>
          <w:szCs w:val="20"/>
        </w:rPr>
        <w:t xml:space="preserve">Oregon</w:t>
      </w:r>
      <w:r>
        <w:rPr>
          <w:sz w:val="20"/>
          <w:szCs w:val="20"/>
        </w:rPr>
        <w:t xml:space="preserve">. 2015 — the 102 MW wind facility is in </w:t>
      </w:r>
      <w:r>
        <w:rPr>
          <w:b/>
          <w:bCs/>
          <w:sz w:val="20"/>
          <w:szCs w:val="20"/>
        </w:rPr>
        <w:t xml:space="preserve">California</w:t>
      </w:r>
      <w:r>
        <w:rPr>
          <w:sz w:val="20"/>
          <w:szCs w:val="20"/>
        </w:rPr>
        <w:t xml:space="preserve">.</w:t>
      </w:r>
    </w:p>
    <w:p>
      <w:pPr>
        <w:pStyle w:val="Heading2"/>
      </w:pPr>
      <w:r>
        <w:t xml:space="preserve">Where location was recovered through triangulation</w:t>
      </w:r>
    </w:p>
    <w:p>
      <w:pPr>
        <w:spacing w:after="120"/>
      </w:pPr>
      <w:r>
        <w:rPr>
          <w:sz w:val="20"/>
          <w:szCs w:val="20"/>
        </w:rPr>
        <w:t xml:space="preserve">The two large hydro portfolios (2023 and 2025) were disclosed by Brookfield only as “in the U.S.,” but both were identified as </w:t>
      </w:r>
      <w:r>
        <w:rPr>
          <w:b/>
          <w:bCs/>
          <w:sz w:val="20"/>
          <w:szCs w:val="20"/>
        </w:rPr>
        <w:t xml:space="preserve">Smoky Mountain</w:t>
      </w:r>
      <w:r>
        <w:rPr>
          <w:sz w:val="20"/>
          <w:szCs w:val="20"/>
        </w:rPr>
        <w:t xml:space="preserve"> by cross-referencing the buyer (Argo Infrastructure Partners), the offtaker (a 2024 TVA power-purchase agreement that named all four dams), the lenders (a 2025 $435M private placement), and a sister Brookfield fund’s holdings table that lists “U.S. Hydro (Smoky Mountain).” The capacity figure (377–403 MW) was the thread tying the vague filing to the named asset. The 30 MW plant (2024), the 2020 wind, and the 2025 solar/DG portfolios remain unspecified as to site — those would need the same buyer-or-FERC reconstruction.</w:t>
      </w:r>
    </w:p>
    <w:p>
      <w:pPr>
        <w:pStyle w:val="Heading2"/>
      </w:pPr>
      <w:r>
        <w:t xml:space="preserve">Geographic pattern that emerges</w:t>
      </w:r>
    </w:p>
    <w:p>
      <w:pPr>
        <w:spacing w:after="120"/>
      </w:pPr>
      <w:r>
        <w:rPr>
          <w:sz w:val="20"/>
          <w:szCs w:val="20"/>
        </w:rPr>
        <w:t xml:space="preserve">US wind disposals cluster on the </w:t>
      </w:r>
      <w:r>
        <w:rPr>
          <w:b/>
          <w:bCs/>
          <w:sz w:val="20"/>
          <w:szCs w:val="20"/>
        </w:rPr>
        <w:t xml:space="preserve">West Coast / mountain-West</w:t>
      </w:r>
      <w:r>
        <w:rPr>
          <w:sz w:val="20"/>
          <w:szCs w:val="20"/>
        </w:rPr>
        <w:t xml:space="preserve"> (California, Oregon) with one Northeast outlier (New Hampshire). The identified hydro disposals both sit in the </w:t>
      </w:r>
      <w:r>
        <w:rPr>
          <w:b/>
          <w:bCs/>
          <w:sz w:val="20"/>
          <w:szCs w:val="20"/>
        </w:rPr>
        <w:t xml:space="preserve">Tennessee Valley / western Carolinas</w:t>
      </w:r>
      <w:r>
        <w:rPr>
          <w:sz w:val="20"/>
          <w:szCs w:val="20"/>
        </w:rPr>
        <w:t xml:space="preserve"> (the Smoky Mountain four-dam system) — a cluster somewhat apart from Brookfield’s larger Northeastern, New York and Maine hydro concentrations, which is the most likely reason it carried the “non-core” label.</w:t>
      </w:r>
    </w:p>
    <w:p>
      <w:pPr>
        <w:pStyle w:val="Heading1"/>
      </w:pPr>
      <w:r>
        <w:t xml:space="preserve">FERC license surrenders &amp; decommissioning by Brookfield entities</w:t>
      </w:r>
    </w:p>
    <w:p>
      <w:pPr>
        <w:spacing w:after="120"/>
      </w:pPr>
      <w:r>
        <w:rPr>
          <w:sz w:val="20"/>
          <w:szCs w:val="20"/>
        </w:rPr>
        <w:t xml:space="preserve">Separate from sales, you asked which Brookfield Renewable entities have </w:t>
      </w:r>
      <w:r>
        <w:rPr>
          <w:b/>
          <w:bCs/>
          <w:sz w:val="20"/>
          <w:szCs w:val="20"/>
        </w:rPr>
        <w:t xml:space="preserve">not renewed a FERC license or moved to decommission a plant</w:t>
      </w:r>
      <w:r>
        <w:rPr>
          <w:sz w:val="20"/>
          <w:szCs w:val="20"/>
        </w:rPr>
        <w:t xml:space="preserve">. These are concentrated in Maine and are matters of relicensing conflict rather than asset sales. The clearest cases:</w:t>
      </w:r>
    </w:p>
    <w:p>
      <w:pPr>
        <w:spacing w:after="120"/>
      </w:pPr>
      <w:r>
        <w:rPr>
          <w:b/>
          <w:bCs/>
          <w:sz w:val="20"/>
          <w:szCs w:val="20"/>
        </w:rPr>
        <w:t xml:space="preserve">▸ Bar Mills (FERC No. 2194), Saco River, Hollis, Maine — </w:t>
      </w:r>
      <w:r>
        <w:rPr>
          <w:sz w:val="20"/>
          <w:szCs w:val="20"/>
        </w:rPr>
        <w:t xml:space="preserve">Brookfield White Pine Hydro filed a notice of intent to </w:t>
      </w:r>
      <w:r>
        <w:rPr>
          <w:b/>
          <w:bCs/>
          <w:sz w:val="20"/>
          <w:szCs w:val="20"/>
        </w:rPr>
        <w:t xml:space="preserve">surrender the license on Nov 30, 2020</w:t>
      </w:r>
      <w:r>
        <w:rPr>
          <w:sz w:val="20"/>
          <w:szCs w:val="20"/>
        </w:rPr>
        <w:t xml:space="preserve">, the first step toward decommissioning. The units had not run for three years; a surrender application and decommissioning plan (partial dam breach) followed. This is the most clear-cut voluntary surrender — driven by an inoperable, uneconomic-to-repair plant.</w:t>
      </w:r>
    </w:p>
    <w:p>
      <w:pPr>
        <w:spacing w:after="120"/>
      </w:pPr>
      <w:r>
        <w:rPr>
          <w:b/>
          <w:bCs/>
          <w:sz w:val="20"/>
          <w:szCs w:val="20"/>
        </w:rPr>
        <w:t xml:space="preserve">▸ Ellsworth Project (Union River &amp; Graham Lake dams), Maine — </w:t>
      </w:r>
      <w:r>
        <w:rPr>
          <w:sz w:val="20"/>
          <w:szCs w:val="20"/>
        </w:rPr>
        <w:t xml:space="preserve">operated by Black Bear Hydro Partners. Its last license </w:t>
      </w:r>
      <w:r>
        <w:rPr>
          <w:b/>
          <w:bCs/>
          <w:sz w:val="20"/>
          <w:szCs w:val="20"/>
        </w:rPr>
        <w:t xml:space="preserve">expired in 2017</w:t>
      </w:r>
      <w:r>
        <w:rPr>
          <w:sz w:val="20"/>
          <w:szCs w:val="20"/>
        </w:rPr>
        <w:t xml:space="preserve">; it has run on annual temporary licenses since. Maine DEP denied the required water-quality certification (2020, and a draft denial again in 2025), and the company has said removal of the Ellsworth and Graham dams “may be an unfortunate but necessary outcome.” Not yet surrendered, but relicensing is in serious jeopardy — a possible forced (non-voluntary) decommissioning.</w:t>
      </w:r>
    </w:p>
    <w:p>
      <w:pPr>
        <w:spacing w:after="120"/>
      </w:pPr>
      <w:r>
        <w:rPr>
          <w:b/>
          <w:bCs/>
          <w:sz w:val="20"/>
          <w:szCs w:val="20"/>
        </w:rPr>
        <w:t xml:space="preserve">▸ Lower Kennebec dams — Shawmut (FERC No. 2322), Lockwood, Hydro-Kennebec, Weston, Maine — </w:t>
      </w:r>
      <w:r>
        <w:rPr>
          <w:sz w:val="20"/>
          <w:szCs w:val="20"/>
        </w:rPr>
        <w:t xml:space="preserve">operated by Brookfield White Pine Hydro, Merimil LP and Hydro Kennebec LLC. State agencies (Maine DMR, NMFS) and a 2020 Kennebec River Management Plan amendment have pushed to </w:t>
      </w:r>
      <w:r>
        <w:rPr>
          <w:b/>
          <w:bCs/>
          <w:sz w:val="20"/>
          <w:szCs w:val="20"/>
        </w:rPr>
        <w:t xml:space="preserve">remove these four dams</w:t>
      </w:r>
      <w:r>
        <w:rPr>
          <w:sz w:val="20"/>
          <w:szCs w:val="20"/>
        </w:rPr>
        <w:t xml:space="preserve"> over endangered-fish concerns; Maine DEP denied water-quality certification for Shawmut’s relicensing. Brookfield has litigated to block removal (including a D.C. Circuit case and an injunction against Maine DMR). Contested and unresolved — relicensing opposed, removal not yet ordered.</w:t>
      </w:r>
    </w:p>
    <w:p>
      <w:pPr>
        <w:pStyle w:val="Heading1"/>
      </w:pPr>
      <w:r>
        <w:t xml:space="preserve">Focus risk: Bar Mills retained powerhouse &amp; the municipal abandonment problem</w:t>
      </w:r>
    </w:p>
    <w:p>
      <w:pPr>
        <w:spacing w:after="120"/>
      </w:pPr>
      <w:r>
        <w:rPr>
          <w:sz w:val="20"/>
          <w:szCs w:val="20"/>
        </w:rPr>
        <w:t xml:space="preserve">The Bar Mills surrender carries a specific long-tail risk worth isolating. BWPH is </w:t>
      </w:r>
      <w:r>
        <w:rPr>
          <w:b/>
          <w:bCs/>
          <w:sz w:val="20"/>
          <w:szCs w:val="20"/>
        </w:rPr>
        <w:t xml:space="preserve">not fully removing the project</w:t>
      </w:r>
      <w:r>
        <w:rPr>
          <w:sz w:val="20"/>
          <w:szCs w:val="20"/>
        </w:rPr>
        <w:t xml:space="preserve">. Per its own plan, it will </w:t>
      </w:r>
      <w:r>
        <w:rPr>
          <w:b/>
          <w:bCs/>
          <w:sz w:val="20"/>
          <w:szCs w:val="20"/>
        </w:rPr>
        <w:t xml:space="preserve">retain the powerhouse</w:t>
      </w:r>
      <w:r>
        <w:rPr>
          <w:sz w:val="20"/>
          <w:szCs w:val="20"/>
        </w:rPr>
        <w:t xml:space="preserve"> (1956 structure; original project 1919) “for operational purposes, such as materials and equipment storage and office space,” and will leave a </w:t>
      </w:r>
      <w:r>
        <w:rPr>
          <w:b/>
          <w:bCs/>
          <w:sz w:val="20"/>
          <w:szCs w:val="20"/>
        </w:rPr>
        <w:t xml:space="preserve">portion of the spillway and the entire eastern half of the dam in place</w:t>
      </w:r>
      <w:r>
        <w:rPr>
          <w:sz w:val="20"/>
          <w:szCs w:val="20"/>
        </w:rPr>
        <w:t xml:space="preserve">. The powerhouse will not be demolished; no soil testing is proposed around it for that reason.</w:t>
      </w:r>
    </w:p>
    <w:p>
      <w:pPr>
        <w:spacing w:after="120"/>
      </w:pPr>
      <w:r>
        <w:rPr>
          <w:sz w:val="20"/>
          <w:szCs w:val="20"/>
        </w:rPr>
        <w:t xml:space="preserve">The mechanism that creates the risk: per BWPH’s own FAQ, </w:t>
      </w:r>
      <w:r>
        <w:rPr>
          <w:b/>
          <w:bCs/>
          <w:sz w:val="20"/>
          <w:szCs w:val="20"/>
        </w:rPr>
        <w:t xml:space="preserve">“once the surrender application has been approved by FERC, there is no longer a FERC project boundary.”</w:t>
      </w:r>
      <w:r>
        <w:rPr>
          <w:sz w:val="20"/>
          <w:szCs w:val="20"/>
        </w:rPr>
        <w:t xml:space="preserve"> When surrender is granted, </w:t>
      </w:r>
      <w:r>
        <w:rPr>
          <w:b/>
          <w:bCs/>
          <w:sz w:val="20"/>
          <w:szCs w:val="20"/>
        </w:rPr>
        <w:t xml:space="preserve">FERC’s safety and financial jurisdiction ends entirely</w:t>
      </w:r>
      <w:r>
        <w:rPr>
          <w:sz w:val="20"/>
          <w:szCs w:val="20"/>
        </w:rPr>
        <w:t xml:space="preserve">. The retained powerhouse, spillway remnant and water-retaining structures become ordinary private real estate under state/local authority only. There is no FERC decommissioning bond, no federally-mandated maintenance trust, and no federal obligation that runs with the land to a future owner.</w:t>
      </w:r>
    </w:p>
    <w:p>
      <w:pPr>
        <w:spacing w:after="120"/>
      </w:pPr>
      <w:r>
        <w:rPr>
          <w:sz w:val="20"/>
          <w:szCs w:val="20"/>
        </w:rPr>
        <w:t xml:space="preserve">BWPH’s maintenance duty binds </w:t>
      </w:r>
      <w:r>
        <w:rPr>
          <w:b/>
          <w:bCs/>
          <w:sz w:val="20"/>
          <w:szCs w:val="20"/>
        </w:rPr>
        <w:t xml:space="preserve">BWPH under the FERC-approved decommissioning plan</w:t>
      </w:r>
      <w:r>
        <w:rPr>
          <w:sz w:val="20"/>
          <w:szCs w:val="20"/>
        </w:rPr>
        <w:t xml:space="preserve"> — it is not clearly a perpetual covenant enforceable against a downstream purchaser after federal jurisdiction terminates. So the scenario of concern is real: if BWPH (or a successor Brookfield entity) later </w:t>
      </w:r>
      <w:r>
        <w:rPr>
          <w:b/>
          <w:bCs/>
          <w:sz w:val="20"/>
          <w:szCs w:val="20"/>
        </w:rPr>
        <w:t xml:space="preserve">sells or abandons the parcel to a thinly-capitalized buyer</w:t>
      </w:r>
      <w:r>
        <w:rPr>
          <w:sz w:val="20"/>
          <w:szCs w:val="20"/>
        </w:rPr>
        <w:t xml:space="preserve"> that cannot fund upkeep or removal of an aging, partially-breached dam and powerhouse, the residual liability could fall to the municipality. Enforceability would depend entirely on state dam-safety law and whatever deed covenants exist — not on FERC.</w:t>
      </w:r>
    </w:p>
    <w:p>
      <w:pPr>
        <w:spacing w:after="120"/>
      </w:pPr>
      <w:r>
        <w:rPr>
          <w:sz w:val="20"/>
          <w:szCs w:val="20"/>
        </w:rPr>
        <w:t xml:space="preserve">The retained structures are not liability-free. The un-removed eastern dam sits adjacent to the </w:t>
      </w:r>
      <w:r>
        <w:rPr>
          <w:b/>
          <w:bCs/>
          <w:sz w:val="20"/>
          <w:szCs w:val="20"/>
        </w:rPr>
        <w:t xml:space="preserve">Rogers Fibre Mill EPA Superfund site</w:t>
      </w:r>
      <w:r>
        <w:rPr>
          <w:sz w:val="20"/>
          <w:szCs w:val="20"/>
        </w:rPr>
        <w:t xml:space="preserve">, and its concrete foundation is itself a water-retaining structure FERC required inside the project boundary. Decommissioning also affects municipal infrastructure (the Canal Road dry hydrant, which BWPH proposes to relocate in consultation with Hollis).</w:t>
      </w:r>
    </w:p>
    <w:p>
      <w:pPr>
        <w:spacing w:after="120"/>
      </w:pPr>
      <w:r>
        <w:rPr>
          <w:sz w:val="20"/>
          <w:szCs w:val="20"/>
        </w:rPr>
        <w:t xml:space="preserve">Geographic nuance: the exposure is </w:t>
      </w:r>
      <w:r>
        <w:rPr>
          <w:b/>
          <w:bCs/>
          <w:sz w:val="20"/>
          <w:szCs w:val="20"/>
        </w:rPr>
        <w:t xml:space="preserve">split between two towns</w:t>
      </w:r>
      <w:r>
        <w:rPr>
          <w:sz w:val="20"/>
          <w:szCs w:val="20"/>
        </w:rPr>
        <w:t xml:space="preserve">. The retained powerhouse and BWPH-owned access road, parking and canal lands are on the </w:t>
      </w:r>
      <w:r>
        <w:rPr>
          <w:b/>
          <w:bCs/>
          <w:sz w:val="20"/>
          <w:szCs w:val="20"/>
        </w:rPr>
        <w:t xml:space="preserve">Hollis</w:t>
      </w:r>
      <w:r>
        <w:rPr>
          <w:sz w:val="20"/>
          <w:szCs w:val="20"/>
        </w:rPr>
        <w:t xml:space="preserve"> side; the un-removed eastern dam portion and the adjacent Superfund parcel are owned by the </w:t>
      </w:r>
      <w:r>
        <w:rPr>
          <w:b/>
          <w:bCs/>
          <w:sz w:val="20"/>
          <w:szCs w:val="20"/>
        </w:rPr>
        <w:t xml:space="preserve">Town of Buxton</w:t>
      </w:r>
      <w:r>
        <w:rPr>
          <w:sz w:val="20"/>
          <w:szCs w:val="20"/>
        </w:rPr>
        <w:t xml:space="preserve">. Hollis’s exposure centers on the powerhouse and western structures BWPH retains; Buxton carries parallel exposure on the eastern remnant on its own land. A small town’s inability to absorb future maintenance or removal cost applies to both, and is not addressed by any federal financial-assurance mechanism in the surrender process.</w:t>
      </w:r>
    </w:p>
    <w:p>
      <w:pPr>
        <w:spacing w:after="120"/>
      </w:pPr>
      <w:r>
        <w:rPr>
          <w:b/>
          <w:bCs/>
          <w:sz w:val="20"/>
          <w:szCs w:val="20"/>
        </w:rPr>
        <w:t xml:space="preserve">Potential mitigations a stakeholder could pursue (not legal advice): </w:t>
      </w:r>
      <w:r>
        <w:rPr>
          <w:sz w:val="19"/>
          <w:szCs w:val="19"/>
        </w:rPr>
        <w:t xml:space="preserve">request, during the open FERC surrender docket, that the decommissioning order condition approval on (a) a funded maintenance/removal escrow or surety that survives transfer, (b) recorded deed covenants binding successors-in-interest to maintain or remove the retained structures, and (c) a state dam-safety registration that names a financially-responsible party. These are the kinds of conditions that, if not imposed before surrender is granted, become very difficult to attach afterward — because FERC jurisdiction will have ended.</w:t>
      </w:r>
    </w:p>
    <w:p>
      <w:pPr>
        <w:pStyle w:val="Heading1"/>
      </w:pPr>
      <w:r>
        <w:t xml:space="preserve">Is the Hollis fear precedented? Comparable cases</w:t>
      </w:r>
    </w:p>
    <w:p>
      <w:pPr>
        <w:spacing w:after="120"/>
      </w:pPr>
      <w:r>
        <w:rPr>
          <w:sz w:val="20"/>
          <w:szCs w:val="20"/>
        </w:rPr>
        <w:t xml:space="preserve">The concern — an aging dam/powerhouse passing to an owner without the balance sheet to maintain or remove it, ultimately landing on the public — is </w:t>
      </w:r>
      <w:r>
        <w:rPr>
          <w:b/>
          <w:bCs/>
          <w:sz w:val="20"/>
          <w:szCs w:val="20"/>
        </w:rPr>
        <w:t xml:space="preserve">a documented failure mode, not speculation</w:t>
      </w:r>
      <w:r>
        <w:rPr>
          <w:sz w:val="20"/>
          <w:szCs w:val="20"/>
        </w:rPr>
        <w:t xml:space="preserve">. The enabling structure is the single-purpose LLC holding one hazardous structure with no parent guarantee. Key precedents:</w:t>
      </w:r>
    </w:p>
    <w:p>
      <w:pPr>
        <w:spacing w:after="120"/>
      </w:pPr>
      <w:r>
        <w:rPr>
          <w:b/>
          <w:bCs/>
          <w:sz w:val="20"/>
          <w:szCs w:val="20"/>
        </w:rPr>
        <w:t xml:space="preserve">▸ Cheboygan, Michigan (closest analog). </w:t>
      </w:r>
      <w:r>
        <w:rPr>
          <w:sz w:val="20"/>
          <w:szCs w:val="20"/>
        </w:rPr>
        <w:t xml:space="preserve">A near-perfect realization of the Hollis fear. The Cheboygan Lock &amp; Dam complex is split: the Michigan DNR owns the 1922 dam, while a private LLC owns the adjoining hydropower plant that once served a now-shuttered tissue factory. The FERC license exemption traces back to Procter &amp; Gamble (1983) and passed through a chain of owners (Great Lakes Tissue, then </w:t>
      </w:r>
      <w:r>
        <w:rPr>
          <w:b/>
          <w:bCs/>
          <w:sz w:val="20"/>
          <w:szCs w:val="20"/>
        </w:rPr>
        <w:t xml:space="preserve">Hom Paper XI LLC</w:t>
      </w:r>
      <w:r>
        <w:rPr>
          <w:sz w:val="20"/>
          <w:szCs w:val="20"/>
        </w:rPr>
        <w:t xml:space="preserve">, controlled by a former NFL linebacker). The powerhouse went offline after a September 2023 fire. In July 2025 FERC ordered Hom Paper to restore the powerhouse or surrender its exemption; the owner’s lawyer wrote that operating it was “no longer economically feasible,” then sought </w:t>
      </w:r>
      <w:r>
        <w:rPr>
          <w:b/>
          <w:bCs/>
          <w:sz w:val="20"/>
          <w:szCs w:val="20"/>
        </w:rPr>
        <w:t xml:space="preserve">repeated extensions</w:t>
      </w:r>
      <w:r>
        <w:rPr>
          <w:sz w:val="20"/>
          <w:szCs w:val="20"/>
        </w:rPr>
        <w:t xml:space="preserve"> while trying to offload the plant to another small entity (HydroMine Cheboygan LLC, a Wyoming firm). During the limbo, record spring flooding in April 2026 brought the high-hazard dam within ~6 inches of overtopping; an emergency multi-agency scramble (Consumers Energy, Army Corps, DNR, HydroMine) restarted the idle turbine just in time. FERC then invoked Section 31 of the Federal Power Act (civil-penalty authority). A state dam-safety watchdog called it “the same pattern” as Boyce and Au Train. Note the structural identity to Bar Mills: a split public/private ownership, an inoperable powerhouse held by a thinly-capitalized LLC, and an owner seeking to exit an asset it deems uneconomic.</w:t>
      </w:r>
    </w:p>
    <w:p>
      <w:pPr>
        <w:spacing w:after="120"/>
      </w:pPr>
      <w:r>
        <w:rPr>
          <w:b/>
          <w:bCs/>
          <w:sz w:val="20"/>
          <w:szCs w:val="20"/>
        </w:rPr>
        <w:t xml:space="preserve">▸ Boyce Hydro / Edenville Dam, Michigan (the catastrophe). </w:t>
      </w:r>
      <w:r>
        <w:rPr>
          <w:sz w:val="20"/>
          <w:szCs w:val="20"/>
        </w:rPr>
        <w:t xml:space="preserve">The canonical case of an under-capitalized owner. Boyce Hydro (principal Lee Mueller) acquired the dam in 2004 with problems disclosed; FERC ordered spillway upgrades and, when they weren’t completed, </w:t>
      </w:r>
      <w:r>
        <w:rPr>
          <w:b/>
          <w:bCs/>
          <w:sz w:val="20"/>
          <w:szCs w:val="20"/>
        </w:rPr>
        <w:t xml:space="preserve">revoked Edenville’s hydropower license in September 2018</w:t>
      </w:r>
      <w:r>
        <w:rPr>
          <w:sz w:val="20"/>
          <w:szCs w:val="20"/>
        </w:rPr>
        <w:t xml:space="preserve"> after more than a decade of violations — transferring oversight to the state. On May 19, 2020, after heavy rain, the Edenville Dam failed, cascading to fail the Sanford Dam downstream; ~10,000 residents were evacuated and damage exceeded </w:t>
      </w:r>
      <w:r>
        <w:rPr>
          <w:b/>
          <w:bCs/>
          <w:sz w:val="20"/>
          <w:szCs w:val="20"/>
        </w:rPr>
        <w:t xml:space="preserve">$200 million</w:t>
      </w:r>
      <w:r>
        <w:rPr>
          <w:sz w:val="20"/>
          <w:szCs w:val="20"/>
        </w:rPr>
        <w:t xml:space="preserve">. Boyce filed Chapter 11 within weeks. A federal judge found Mueller personally liable for ~$119M in environmental damage (Nov 2023); his later personal bankruptcy was denied as bad-faith. The lesson for Bar Mills: once a license is gone and the owner is judgment-proof, </w:t>
      </w:r>
      <w:r>
        <w:rPr>
          <w:b/>
          <w:bCs/>
          <w:sz w:val="20"/>
          <w:szCs w:val="20"/>
        </w:rPr>
        <w:t xml:space="preserve">liability collapses onto the public</w:t>
      </w:r>
      <w:r>
        <w:rPr>
          <w:sz w:val="20"/>
          <w:szCs w:val="20"/>
        </w:rPr>
        <w:t xml:space="preserve"> — a Michigan Court of Claims ruled the state itself not liable, leaving thousands of flood victims without a solvent defendant. License revocation/surrender is exactly the moment that exposure crystallizes.</w:t>
      </w:r>
    </w:p>
    <w:p>
      <w:pPr>
        <w:spacing w:after="120"/>
      </w:pPr>
      <w:r>
        <w:rPr>
          <w:b/>
          <w:bCs/>
          <w:sz w:val="20"/>
          <w:szCs w:val="20"/>
        </w:rPr>
        <w:t xml:space="preserve">▸ Morrow Dam, Michigan (single-purpose LLC + contaminated neighbor). </w:t>
      </w:r>
      <w:r>
        <w:rPr>
          <w:sz w:val="20"/>
          <w:szCs w:val="20"/>
        </w:rPr>
        <w:t xml:space="preserve">Morrow Dam on the Kalamazoo River is owned by </w:t>
      </w:r>
      <w:r>
        <w:rPr>
          <w:b/>
          <w:bCs/>
          <w:sz w:val="20"/>
          <w:szCs w:val="20"/>
        </w:rPr>
        <w:t xml:space="preserve">STS Hydropower LLC</w:t>
      </w:r>
      <w:r>
        <w:rPr>
          <w:sz w:val="20"/>
          <w:szCs w:val="20"/>
        </w:rPr>
        <w:t xml:space="preserve">, a subsidiary of Eagle Creek Renewable Energy (ultimately Ontario Power Generation). FERC flagged the spillway gates for repair in 2017; the company delayed, then in October 2019 declared an “emergency” drawdown that it ran for over a year, releasing </w:t>
      </w:r>
      <w:r>
        <w:rPr>
          <w:b/>
          <w:bCs/>
          <w:sz w:val="20"/>
          <w:szCs w:val="20"/>
        </w:rPr>
        <w:t xml:space="preserve">~370,000 cubic yards of sediment</w:t>
      </w:r>
      <w:r>
        <w:rPr>
          <w:sz w:val="20"/>
          <w:szCs w:val="20"/>
        </w:rPr>
        <w:t xml:space="preserve"> down ~30 miles of river, burying habitat up to 12 feet deep and trapping people and wildlife. Michigan’s AG sued in 2022 (pleading Eagle Creek as the “alter ego” of STS — a direct attempt to pierce the single-purpose-LLC veil), and the parties settled in 2026 for </w:t>
      </w:r>
      <w:r>
        <w:rPr>
          <w:b/>
          <w:bCs/>
          <w:sz w:val="20"/>
          <w:szCs w:val="20"/>
        </w:rPr>
        <w:t xml:space="preserve">$25 million</w:t>
      </w:r>
      <w:r>
        <w:rPr>
          <w:sz w:val="20"/>
          <w:szCs w:val="20"/>
        </w:rPr>
        <w:t xml:space="preserve"> — but the settlement required </w:t>
      </w:r>
      <w:r>
        <w:rPr>
          <w:i/>
          <w:iCs/>
          <w:sz w:val="20"/>
          <w:szCs w:val="20"/>
        </w:rPr>
        <w:t xml:space="preserve">no river cleanup</w:t>
      </w:r>
      <w:r>
        <w:rPr>
          <w:sz w:val="20"/>
          <w:szCs w:val="20"/>
        </w:rPr>
        <w:t xml:space="preserve">, and the company had already abandoned remediation after addressing under 1% of the sediment. Relevance to Bar Mills: a thin single-purpose LLC operating an aging structure, an owner that walked away from cleanup, and a state forced to litigate the corporate veil to reach a solvent parent — with the river left largely un-restored. (Morrow also sits near a PCB Superfund stretch, echoing Bar Mills’ adjacency to the Rogers Fibre Mill Superfund site.)</w:t>
      </w:r>
    </w:p>
    <w:p>
      <w:pPr>
        <w:spacing w:after="120"/>
      </w:pPr>
      <w:r>
        <w:rPr>
          <w:b/>
          <w:bCs/>
          <w:sz w:val="20"/>
          <w:szCs w:val="20"/>
        </w:rPr>
        <w:t xml:space="preserve">Industry backdrop: </w:t>
      </w:r>
      <w:r>
        <w:rPr>
          <w:sz w:val="20"/>
          <w:szCs w:val="20"/>
        </w:rPr>
        <w:t xml:space="preserve">a 2020 survey found ~30% of hydro dam owners are considering decommissioning rather than relicensing, with economics the primary driver. Many FERC-regulated dams are old, uneconomical and have become liabilities — so the volume of aging structures changing hands is rising.</w:t>
      </w:r>
    </w:p>
    <w:p>
      <w:pPr>
        <w:pStyle w:val="Heading2"/>
      </w:pPr>
      <w:r>
        <w:t xml:space="preserve">Does Brookfield itself show this pattern?</w:t>
      </w:r>
    </w:p>
    <w:p>
      <w:pPr>
        <w:spacing w:after="120"/>
      </w:pPr>
      <w:r>
        <w:rPr>
          <w:sz w:val="20"/>
          <w:szCs w:val="20"/>
        </w:rPr>
        <w:t xml:space="preserve">No </w:t>
      </w:r>
      <w:r>
        <w:rPr>
          <w:i/>
          <w:iCs/>
          <w:sz w:val="20"/>
          <w:szCs w:val="20"/>
        </w:rPr>
        <w:t xml:space="preserve">completed</w:t>
      </w:r>
      <w:r>
        <w:rPr>
          <w:sz w:val="20"/>
          <w:szCs w:val="20"/>
        </w:rPr>
        <w:t xml:space="preserve"> case of Brookfield abandoning a surrendered structure to a municipality was found. But three Brookfield-specific patterns make the Hollis concern credible rather than far-fetched:</w:t>
      </w:r>
    </w:p>
    <w:p>
      <w:pPr>
        <w:spacing w:after="120"/>
      </w:pPr>
      <w:r>
        <w:rPr>
          <w:b/>
          <w:bCs/>
          <w:sz w:val="20"/>
          <w:szCs w:val="20"/>
        </w:rPr>
        <w:t xml:space="preserve">1. It uses the exact spin-out structure now. </w:t>
      </w:r>
      <w:r>
        <w:rPr>
          <w:sz w:val="20"/>
          <w:szCs w:val="20"/>
        </w:rPr>
        <w:t xml:space="preserve">In the 2025 sale of four lower Kennebec dams to The Nature Conservancy ($168M), Brookfield asked FERC to transfer each dam’s license to </w:t>
      </w:r>
      <w:r>
        <w:rPr>
          <w:b/>
          <w:bCs/>
          <w:sz w:val="20"/>
          <w:szCs w:val="20"/>
        </w:rPr>
        <w:t xml:space="preserve">newly created Brookfield-owned holding companies</w:t>
      </w:r>
      <w:r>
        <w:rPr>
          <w:sz w:val="20"/>
          <w:szCs w:val="20"/>
        </w:rPr>
        <w:t xml:space="preserve"> as a step to facilitate the sale. Spinning dams slated for disposal into single-purpose holding entities is precisely the structure that worries Hollis. The Kennebec buyer (a well-funded conservancy forming the Kennebec River Restoration Trust) is strong — but the same structure with a weaker buyer is how a Cheboygan happens.</w:t>
      </w:r>
    </w:p>
    <w:p>
      <w:pPr>
        <w:spacing w:after="120"/>
      </w:pPr>
      <w:r>
        <w:rPr>
          <w:b/>
          <w:bCs/>
          <w:sz w:val="20"/>
          <w:szCs w:val="20"/>
        </w:rPr>
        <w:t xml:space="preserve">2. It sheds these assets explicitly to escape cost. </w:t>
      </w:r>
      <w:r>
        <w:rPr>
          <w:sz w:val="20"/>
          <w:szCs w:val="20"/>
        </w:rPr>
        <w:t xml:space="preserve">Brookfield told Maine regulators the Kennebec sale was motivated by an “increasingly complex, expensive and uncertain regulatory landscape,” calling required fish passage “prohibitively expensive” and “arguably unattainable.” Cost-avoidance is the stated disposal motive — consistent with holding a non-productive powerhouse only until offloading is convenient.</w:t>
      </w:r>
    </w:p>
    <w:p>
      <w:pPr>
        <w:spacing w:after="120"/>
      </w:pPr>
      <w:r>
        <w:rPr>
          <w:b/>
          <w:bCs/>
          <w:sz w:val="20"/>
          <w:szCs w:val="20"/>
        </w:rPr>
        <w:t xml:space="preserve">3. It has minimized obligations on an uneconomic asset before. </w:t>
      </w:r>
      <w:r>
        <w:rPr>
          <w:sz w:val="20"/>
          <w:szCs w:val="20"/>
        </w:rPr>
        <w:t xml:space="preserve">In New York, Brookfield suspended payments to the Hudson River–Black River Regulating District for the head the Conklingville Dam provides to its E.J. West plant — cutting that revenue ~97% — triggering demand letters and a FERC dispute. A live example of Brookfield minimizing financial obligations when a hydro asset’s economics turn.</w:t>
      </w:r>
    </w:p>
    <w:p>
      <w:pPr>
        <w:spacing w:after="120"/>
      </w:pPr>
      <w:r>
        <w:rPr>
          <w:b/>
          <w:bCs/>
          <w:sz w:val="20"/>
          <w:szCs w:val="20"/>
        </w:rPr>
        <w:t xml:space="preserve">Counterweight (in fairness): </w:t>
      </w:r>
      <w:r>
        <w:rPr>
          <w:sz w:val="20"/>
          <w:szCs w:val="20"/>
        </w:rPr>
        <w:t xml:space="preserve">in the Kennebec deal Brookfield agreed to keep maintaining all four facilities under long-term operating agreements through the multi-year decommissioning — i.e. retaining responsibility through transition rather than dumping it. And unlike a Boyce Hydro, Brookfield has a real balance sheet and significant reputational exposure in Maine (it generates ~87–90% of the state’s hydropower). Its hundreds-of-entities structure cuts both ways: it could isolate liability in a shell, but Brookfield also has assets and standing that a failed micro-operator never did.</w:t>
      </w:r>
    </w:p>
    <w:p>
      <w:pPr>
        <w:spacing w:after="120"/>
      </w:pPr>
      <w:r>
        <w:rPr>
          <w:b/>
          <w:bCs/>
          <w:sz w:val="20"/>
          <w:szCs w:val="20"/>
        </w:rPr>
        <w:t xml:space="preserve">Bottom line: </w:t>
      </w:r>
      <w:r>
        <w:rPr>
          <w:sz w:val="20"/>
          <w:szCs w:val="20"/>
        </w:rPr>
        <w:t xml:space="preserve">the feared outcome is a documented industry failure mode (Cheboygan, Boyce/Edenville, Morrow), it is enabled by the single-purpose-LLC structure Brookfield is actively using (Kennebec), and Brookfield has shown willingness to shed uneconomic hydro obligations. What is absent is a completed Brookfield abandonment-to-a-town. That argues for a </w:t>
      </w:r>
      <w:r>
        <w:rPr>
          <w:b/>
          <w:bCs/>
          <w:sz w:val="20"/>
          <w:szCs w:val="20"/>
        </w:rPr>
        <w:t xml:space="preserve">preventive posture</w:t>
      </w:r>
      <w:r>
        <w:rPr>
          <w:sz w:val="20"/>
          <w:szCs w:val="20"/>
        </w:rPr>
        <w:t xml:space="preserve">: secure transfer-surviving financial assurance in the Bar Mills surrender order now, while FERC still has jurisdiction — not after it ends.</w:t>
      </w:r>
    </w:p>
    <w:p>
      <w:pPr>
        <w:pStyle w:val="Heading1"/>
      </w:pPr>
      <w:r>
        <w:t xml:space="preserve">Novel stakeholder approaches in FERC surrenders (precedents to draw on)</w:t>
      </w:r>
    </w:p>
    <w:p>
      <w:pPr>
        <w:spacing w:after="120"/>
      </w:pPr>
      <w:r>
        <w:rPr>
          <w:sz w:val="20"/>
          <w:szCs w:val="20"/>
        </w:rPr>
        <w:t xml:space="preserve">Stakeholders have developed a real toolkit for protecting public interests in surrender/decommissioning dockets. The mechanisms below are drawn from actual FERC orders and litigation, several in Maine and New England, and map directly onto the Bar Mills concern.</w:t>
      </w:r>
    </w:p>
    <w:p>
      <w:pPr>
        <w:spacing w:after="120"/>
      </w:pPr>
      <w:r>
        <w:rPr>
          <w:b/>
          <w:bCs/>
          <w:sz w:val="20"/>
          <w:szCs w:val="20"/>
        </w:rPr>
        <w:t xml:space="preserve">1. Co-licensee retention / a creditworthy substitute (the shell-company antidote). </w:t>
      </w:r>
      <w:r>
        <w:rPr>
          <w:sz w:val="20"/>
          <w:szCs w:val="20"/>
        </w:rPr>
        <w:t xml:space="preserve">In the Klamath decommissioning, PacifiCorp sought to transfer four dams to a newly-formed non-profit (KRRC) purely to decommission them. In July 2020 FERC flagged the exact Hollis concern — that it would not be in the public interest for an under-capitalized transferee to bear all liability, since costs could fall on state or federal authorities once the former owner is off the hook — and </w:t>
      </w:r>
      <w:r>
        <w:rPr>
          <w:b/>
          <w:bCs/>
          <w:sz w:val="20"/>
          <w:szCs w:val="20"/>
        </w:rPr>
        <w:t xml:space="preserve">conditioned the transfer on PacifiCorp remaining a co-licensee</w:t>
      </w:r>
      <w:r>
        <w:rPr>
          <w:sz w:val="20"/>
          <w:szCs w:val="20"/>
        </w:rPr>
        <w:t xml:space="preserve">. PacifiCorp refused to stay on; the impasse was resolved by a November 2020 Memorandum of Agreement in which </w:t>
      </w:r>
      <w:r>
        <w:rPr>
          <w:b/>
          <w:bCs/>
          <w:sz w:val="20"/>
          <w:szCs w:val="20"/>
        </w:rPr>
        <w:t xml:space="preserve">the States of California and Oregon joined KRRC as co-licensees instead</w:t>
      </w:r>
      <w:r>
        <w:rPr>
          <w:sz w:val="20"/>
          <w:szCs w:val="20"/>
        </w:rPr>
        <w:t xml:space="preserve">, plus a $45M addition to a $50M cost-overrun contingency fund. So the final structure substituted creditworthy public co-licensees (two states) for the original owner. Application to Bar Mills: insist that any transfer of the retained powerhouse/parcel keep a </w:t>
      </w:r>
      <w:r>
        <w:rPr>
          <w:b/>
          <w:bCs/>
          <w:sz w:val="20"/>
          <w:szCs w:val="20"/>
        </w:rPr>
        <w:t xml:space="preserve">financially-responsible party on the hook</w:t>
      </w:r>
      <w:r>
        <w:rPr>
          <w:sz w:val="20"/>
          <w:szCs w:val="20"/>
        </w:rPr>
        <w:t xml:space="preserve"> — ideally Brookfield or a creditworthy parent as co-obligor, or failing that a funded substitute — so liability cannot evaporate into a shell.</w:t>
      </w:r>
    </w:p>
    <w:p>
      <w:pPr>
        <w:spacing w:after="120"/>
      </w:pPr>
      <w:r>
        <w:rPr>
          <w:b/>
          <w:bCs/>
          <w:sz w:val="20"/>
          <w:szCs w:val="20"/>
        </w:rPr>
        <w:t xml:space="preserve">2. Bonds, letters of credit, escrow as financial-assurance conditions. </w:t>
      </w:r>
      <w:r>
        <w:rPr>
          <w:sz w:val="20"/>
          <w:szCs w:val="20"/>
        </w:rPr>
        <w:t xml:space="preserve">FERC’s formal financial-assurance options are bonds; an individual trust/escrow/remediation fund; or dam-failure insurance, and a stakeholder can ask that surrender be conditioned on one of these, sized to the cost of maintaining or removing the retained structures. A useful illustration of the instruments is the </w:t>
      </w:r>
      <w:r>
        <w:rPr>
          <w:b/>
          <w:bCs/>
          <w:sz w:val="20"/>
          <w:szCs w:val="20"/>
        </w:rPr>
        <w:t xml:space="preserve">Marseilles</w:t>
      </w:r>
      <w:r>
        <w:rPr>
          <w:sz w:val="20"/>
          <w:szCs w:val="20"/>
        </w:rPr>
        <w:t xml:space="preserve"> project — though note it is an </w:t>
      </w:r>
      <w:r>
        <w:rPr>
          <w:i/>
          <w:iCs/>
          <w:sz w:val="20"/>
          <w:szCs w:val="20"/>
        </w:rPr>
        <w:t xml:space="preserve">under-construction 10-MW licensing case in LaSalle County, Illinois, not a surrender</w:t>
      </w:r>
      <w:r>
        <w:rPr>
          <w:sz w:val="20"/>
          <w:szCs w:val="20"/>
        </w:rPr>
        <w:t xml:space="preserve">. FERC imposed a Financial Assurance Plan article there specifically because the project’s primary representative was also the representative of the Sanford project in Michigan (one of the two dams that failed near Midland in 2020), citing that operator’s history of insufficient funding for ordered dam-safety repairs. The article required a registered engineer’s itemized cost estimate to remove or secure facilities for public safety if the licensee could not complete or operate the project, and the licensee satisfied it with a </w:t>
      </w:r>
      <w:r>
        <w:rPr>
          <w:b/>
          <w:bCs/>
          <w:sz w:val="20"/>
          <w:szCs w:val="20"/>
        </w:rPr>
        <w:t xml:space="preserve">construction-completion bond plus a letter of credit from project financiers</w:t>
      </w:r>
      <w:r>
        <w:rPr>
          <w:sz w:val="20"/>
          <w:szCs w:val="20"/>
        </w:rPr>
        <w:t xml:space="preserve">. Two transferable lessons for Bar Mills: FERC will demand assurance when an operator’s track record warrants it, and an engineer-itemized make-safe/removal cost backed by a bond-plus-LOC is a concrete, fundable instrument. Caveat: this practice is rare and has typically applied to </w:t>
      </w:r>
      <w:r>
        <w:rPr>
          <w:i/>
          <w:iCs/>
          <w:sz w:val="20"/>
          <w:szCs w:val="20"/>
        </w:rPr>
        <w:t xml:space="preserve">new</w:t>
      </w:r>
      <w:r>
        <w:rPr>
          <w:sz w:val="20"/>
          <w:szCs w:val="20"/>
        </w:rPr>
        <w:t xml:space="preserve"> construction licenses rather than surrenders, so Marseilles shows the tools exist — it is not a guarantee FERC imposes them on a surrendering licensee. The stronger surrender-specific lever for the shell-company problem is the Klamath co-licensee condition above.</w:t>
      </w:r>
    </w:p>
    <w:p>
      <w:pPr>
        <w:spacing w:after="120"/>
      </w:pPr>
      <w:r>
        <w:rPr>
          <w:b/>
          <w:bCs/>
          <w:sz w:val="20"/>
          <w:szCs w:val="20"/>
        </w:rPr>
        <w:t xml:space="preserve">3. The standard financial-assurance reopener article (a contested stopgap). </w:t>
      </w:r>
      <w:r>
        <w:rPr>
          <w:sz w:val="20"/>
          <w:szCs w:val="20"/>
        </w:rPr>
        <w:t xml:space="preserve">After the 2020 Edenville/Sanford failures, FERC opened a rulemaking (Docket No. RM21-9, Jan 2021) on whether to require financial assurance from hydro licensees — driven by the gap that most existing licenses predate any financing requirement, and that even newer financing articles cover normal O&amp;M, not major safety or decommissioning costs. The Edenville repair estimate alone exceeded </w:t>
      </w:r>
      <w:r>
        <w:rPr>
          <w:b/>
          <w:bCs/>
          <w:sz w:val="20"/>
          <w:szCs w:val="20"/>
        </w:rPr>
        <w:t xml:space="preserve">$300 million</w:t>
      </w:r>
      <w:r>
        <w:rPr>
          <w:sz w:val="20"/>
          <w:szCs w:val="20"/>
        </w:rPr>
        <w:t xml:space="preserve">. The NOI floated three instruments: </w:t>
      </w:r>
      <w:r>
        <w:rPr>
          <w:b/>
          <w:bCs/>
          <w:sz w:val="20"/>
          <w:szCs w:val="20"/>
        </w:rPr>
        <w:t xml:space="preserve">(a) bonds</w:t>
      </w:r>
      <w:r>
        <w:rPr>
          <w:sz w:val="20"/>
          <w:szCs w:val="20"/>
        </w:rPr>
        <w:t xml:space="preserve"> for safety/O&amp;M; </w:t>
      </w:r>
      <w:r>
        <w:rPr>
          <w:b/>
          <w:bCs/>
          <w:sz w:val="20"/>
          <w:szCs w:val="20"/>
        </w:rPr>
        <w:t xml:space="preserve">(b) an industry-wide or individual trust / escrow / remediation fund</w:t>
      </w:r>
      <w:r>
        <w:rPr>
          <w:sz w:val="20"/>
          <w:szCs w:val="20"/>
        </w:rPr>
        <w:t xml:space="preserve">; or </w:t>
      </w:r>
      <w:r>
        <w:rPr>
          <w:b/>
          <w:bCs/>
          <w:sz w:val="20"/>
          <w:szCs w:val="20"/>
        </w:rPr>
        <w:t xml:space="preserve">(c) dam-failure insurance</w:t>
      </w:r>
      <w:r>
        <w:rPr>
          <w:sz w:val="20"/>
          <w:szCs w:val="20"/>
        </w:rPr>
        <w:t xml:space="preserve"> — sized to risk factors like dam age, condition, hazard class, reservoir size, floodplain development and climate stressors (every one of which points the wrong way for an old, non-operational, high-hazard structure beside a Superfund site).</w:t>
      </w:r>
    </w:p>
    <w:p>
      <w:pPr>
        <w:spacing w:after="120"/>
      </w:pPr>
      <w:r>
        <w:rPr>
          <w:sz w:val="20"/>
          <w:szCs w:val="20"/>
        </w:rPr>
        <w:t xml:space="preserve">Because that rulemaking stalled (industry urged limiting any rule to small “mom-and-pop” projects), FERC began inserting a placeholder into transfer orders to preserve its options — the </w:t>
      </w:r>
      <w:r>
        <w:rPr>
          <w:b/>
          <w:bCs/>
          <w:sz w:val="20"/>
          <w:szCs w:val="20"/>
        </w:rPr>
        <w:t xml:space="preserve">“Reservation of Authority to Require Financial Assurance Measures”</w:t>
      </w:r>
      <w:r>
        <w:rPr>
          <w:sz w:val="20"/>
          <w:szCs w:val="20"/>
        </w:rPr>
        <w:t xml:space="preserve"> article: “the Commission reserves the right to require future measures to ensure that the licensee maintains sufficient financial reserves to carry out the terms of the license and Commission orders pertaining thereto.” It has appeared in transfer orders including the Vermont Tissue Mill Dam (to North Bennington Hydroelectric), Hoosick Falls, Racine, Cornell, Blackstone and Aquenergy. </w:t>
      </w:r>
      <w:r>
        <w:rPr>
          <w:b/>
          <w:bCs/>
          <w:sz w:val="20"/>
          <w:szCs w:val="20"/>
        </w:rPr>
        <w:t xml:space="preserve">Crucially, the article does not itself impose a bond or trust</w:t>
      </w:r>
      <w:r>
        <w:rPr>
          <w:sz w:val="20"/>
          <w:szCs w:val="20"/>
        </w:rPr>
        <w:t xml:space="preserve"> — it only preserves FERC’s ability to require one later, so approving the transfer doesn’t foreclose action.</w:t>
      </w:r>
    </w:p>
    <w:p>
      <w:pPr>
        <w:spacing w:after="120"/>
      </w:pPr>
      <w:r>
        <w:rPr>
          <w:b/>
          <w:bCs/>
          <w:sz w:val="20"/>
          <w:szCs w:val="20"/>
        </w:rPr>
        <w:t xml:space="preserve">It is genuinely contested. </w:t>
      </w:r>
      <w:r>
        <w:rPr>
          <w:sz w:val="20"/>
          <w:szCs w:val="20"/>
        </w:rPr>
        <w:t xml:space="preserve">Commissioner Danly dissented repeatedly, arguing the reopener violates the Federal Power Act by amending the license to reserve authority in a transfer proceeding; even other commissioners doubted the reopener alone is sufficient, and there is an underlying dispute about FERC’s authority to impose new requirements on existing licensees at all. No final RM21-9 rule has issued, so the article remains a working stopgap, not settled law.</w:t>
      </w:r>
    </w:p>
    <w:p>
      <w:pPr>
        <w:spacing w:after="120"/>
      </w:pPr>
      <w:r>
        <w:rPr>
          <w:b/>
          <w:bCs/>
          <w:sz w:val="20"/>
          <w:szCs w:val="20"/>
        </w:rPr>
        <w:t xml:space="preserve">Takeaway for Bar Mills. </w:t>
      </w:r>
      <w:r>
        <w:rPr>
          <w:sz w:val="20"/>
          <w:szCs w:val="20"/>
        </w:rPr>
        <w:t xml:space="preserve">The reopener is useful but </w:t>
      </w:r>
      <w:r>
        <w:rPr>
          <w:i/>
          <w:iCs/>
          <w:sz w:val="20"/>
          <w:szCs w:val="20"/>
        </w:rPr>
        <w:t xml:space="preserve">weak on its own</w:t>
      </w:r>
      <w:r>
        <w:rPr>
          <w:sz w:val="20"/>
          <w:szCs w:val="20"/>
        </w:rPr>
        <w:t xml:space="preserve"> — it merely keeps FERC’s option open, a future commission could decline to use it, and the surrender timing problem still bites (jurisdiction ends at surrender). So a stakeholder should not rely on the reopener as the protection; the stronger move is to seek an </w:t>
      </w:r>
      <w:r>
        <w:rPr>
          <w:b/>
          <w:bCs/>
          <w:sz w:val="20"/>
          <w:szCs w:val="20"/>
        </w:rPr>
        <w:t xml:space="preserve">actual instrument</w:t>
      </w:r>
      <w:r>
        <w:rPr>
          <w:sz w:val="20"/>
          <w:szCs w:val="20"/>
        </w:rPr>
        <w:t xml:space="preserve"> from the NOI menu — a bond, a funded trust/escrow, or insurance sized to the project’s risk — written into the surrender/decommissioning order itself, with the reopener as a backstop rather than the front line.</w:t>
      </w:r>
    </w:p>
    <w:p>
      <w:pPr>
        <w:spacing w:after="120"/>
      </w:pPr>
      <w:r>
        <w:rPr>
          <w:b/>
          <w:bCs/>
          <w:sz w:val="20"/>
          <w:szCs w:val="20"/>
        </w:rPr>
        <w:t xml:space="preserve">4. Purpose-built, funded trusts — with the obligation transferred to the funded party (the gold standard). </w:t>
      </w:r>
      <w:r>
        <w:rPr>
          <w:sz w:val="20"/>
          <w:szCs w:val="20"/>
        </w:rPr>
        <w:t xml:space="preserve">On the Penobscot, a nonprofit (the Penobscot River Restoration Trust — the Penobscot Nation plus conservation groups) </w:t>
      </w:r>
      <w:r>
        <w:rPr>
          <w:b/>
          <w:bCs/>
          <w:sz w:val="20"/>
          <w:szCs w:val="20"/>
        </w:rPr>
        <w:t xml:space="preserve">paid the owner, PPL Corporation, ~$24M to buy the Veazie, Great Works and Howland dams</w:t>
      </w:r>
      <w:r>
        <w:rPr>
          <w:sz w:val="20"/>
          <w:szCs w:val="20"/>
        </w:rPr>
        <w:t xml:space="preserve"> (money flowed to the owner, not from it), and the Trust separately raised ~$60M total (about half federal, via NOAA / the 2009 Recovery Act) to fund purchase and removal. Crucially, the FERC license and the surrender/removal obligation </w:t>
      </w:r>
      <w:r>
        <w:rPr>
          <w:b/>
          <w:bCs/>
          <w:sz w:val="20"/>
          <w:szCs w:val="20"/>
        </w:rPr>
        <w:t xml:space="preserve">transferred to the funded Trust</w:t>
      </w:r>
      <w:r>
        <w:rPr>
          <w:sz w:val="20"/>
          <w:szCs w:val="20"/>
        </w:rPr>
        <w:t xml:space="preserve"> — the seller was not released into a vacuum; a capable successor was bound first. At Veazie the Trust later removed the powerhouse, built a riverside park, and offered the remediated, unencumbered parcel to the town. FERC itself drew the liability lesson: in a later surrender it cited “liability concerns that arose in Penobscot” and an inexperienced transferee as reasons to require a </w:t>
      </w:r>
      <w:r>
        <w:rPr>
          <w:b/>
          <w:bCs/>
          <w:sz w:val="20"/>
          <w:szCs w:val="20"/>
        </w:rPr>
        <w:t xml:space="preserve">co-licensee</w:t>
      </w:r>
      <w:r>
        <w:rPr>
          <w:sz w:val="20"/>
          <w:szCs w:val="20"/>
        </w:rPr>
        <w:t xml:space="preserve"> structure. Lesson for Hollis: the obligation should move only to a party that already holds the funds to perform it.</w:t>
      </w:r>
    </w:p>
    <w:p>
      <w:pPr>
        <w:spacing w:after="120"/>
      </w:pPr>
      <w:r>
        <w:rPr>
          <w:b/>
          <w:bCs/>
          <w:sz w:val="20"/>
          <w:szCs w:val="20"/>
        </w:rPr>
        <w:t xml:space="preserve">5. Municipal-reliance arguments to shape the plan (double-edged). </w:t>
      </w:r>
      <w:r>
        <w:rPr>
          <w:sz w:val="20"/>
          <w:szCs w:val="20"/>
        </w:rPr>
        <w:t xml:space="preserve">Aclara / Somersworth (Salmon Falls River, ME–NH; FERC-approved 2023, upheld by the D.C. Circuit Jan 2025) is nearly identical to Bar Mills — a non-operational plant (penstock failed 2011) whose owner surrendered rather than pay for fish passage and proposed to leave the dams in place. FERC allowed surrender </w:t>
      </w:r>
      <w:r>
        <w:rPr>
          <w:i/>
          <w:iCs/>
          <w:sz w:val="20"/>
          <w:szCs w:val="20"/>
        </w:rPr>
        <w:t xml:space="preserve">without removal</w:t>
      </w:r>
      <w:r>
        <w:rPr>
          <w:sz w:val="20"/>
          <w:szCs w:val="20"/>
        </w:rPr>
        <w:t xml:space="preserve"> partly because two municipalities relied on the impoundment for water supply and firefighting. Lesson for Hollis (note the Canal Road dry hydrant): a town can invoke reliance interests to shape the outcome — but “leave in place” is exactly what creates the orphaned-structure risk, so any leave-in-place result should be coupled with a funded maintenance obligation.</w:t>
      </w:r>
    </w:p>
    <w:p>
      <w:pPr>
        <w:spacing w:after="120"/>
      </w:pPr>
      <w:r>
        <w:rPr>
          <w:b/>
          <w:bCs/>
          <w:sz w:val="20"/>
          <w:szCs w:val="20"/>
        </w:rPr>
        <w:t xml:space="preserve">6. State dam-abandonment law as backstop — and its trap. </w:t>
      </w:r>
      <w:r>
        <w:rPr>
          <w:sz w:val="20"/>
          <w:szCs w:val="20"/>
        </w:rPr>
        <w:t xml:space="preserve">Maine DEP recently denied an owner’s petition to give up three high-hazard dams (Bucksport / AIM) as “deficient in numerous ways.” But officials warn the statute could leave residents or municipalities stuck with the dams and all O&amp;M costs — a forfeiture process never once carried to completion in 20+ years. The Bucksport filing exposes the precise trap: an owner that </w:t>
      </w:r>
      <w:r>
        <w:rPr>
          <w:b/>
          <w:bCs/>
          <w:sz w:val="20"/>
          <w:szCs w:val="20"/>
        </w:rPr>
        <w:t xml:space="preserve">sold off water-supply rights and other encumbrances, then tried to hand the town a “highly encumbered” dam</w:t>
      </w:r>
      <w:r>
        <w:rPr>
          <w:sz w:val="20"/>
          <w:szCs w:val="20"/>
        </w:rPr>
        <w:t xml:space="preserve">, which the town argued violates the requirement that a dam be offered for no consideration and in sound condition. Defensive lesson: insist the Bar Mills structure cannot be offloaded encumbered or stripped, and that abandonment-to-town is not a permissible exit without funding.</w:t>
      </w:r>
    </w:p>
    <w:p>
      <w:pPr>
        <w:spacing w:after="120"/>
      </w:pPr>
      <w:r>
        <w:rPr>
          <w:b/>
          <w:bCs/>
          <w:color w:val="8A6D1F"/>
          <w:sz w:val="20"/>
          <w:szCs w:val="20"/>
        </w:rPr>
        <w:t xml:space="preserve">The universal timing rule. </w:t>
      </w:r>
      <w:r>
        <w:rPr>
          <w:sz w:val="20"/>
          <w:szCs w:val="20"/>
        </w:rPr>
        <w:t xml:space="preserve">A license may be surrendered only by mutual agreement, and FERC may impose conditions the licensee must fulfill before surrender is complete — but on surrender, FERC’s jurisdiction ends and it cannot compel new measures afterward (“a step for any successor agency to take”). Every mechanism above must therefore be secured </w:t>
      </w:r>
      <w:r>
        <w:rPr>
          <w:b/>
          <w:bCs/>
          <w:sz w:val="20"/>
          <w:szCs w:val="20"/>
        </w:rPr>
        <w:t xml:space="preserve">before the surrender order issues</w:t>
      </w:r>
      <w:r>
        <w:rPr>
          <w:sz w:val="20"/>
          <w:szCs w:val="20"/>
        </w:rPr>
        <w:t xml:space="preserve">. Once granted, the leverage is gone.</w:t>
      </w:r>
    </w:p>
    <w:p>
      <w:pPr>
        <w:pStyle w:val="Heading1"/>
      </w:pPr>
      <w:r>
        <w:t xml:space="preserve">Where the owner helped pay: a spectrum of contribution</w:t>
      </w:r>
    </w:p>
    <w:p>
      <w:pPr>
        <w:spacing w:after="120"/>
      </w:pPr>
      <w:r>
        <w:rPr>
          <w:sz w:val="20"/>
          <w:szCs w:val="20"/>
        </w:rPr>
        <w:t xml:space="preserve">A central question for Hollis: have dam owners actually contributed money (or a bond) to protect the town, trust, or successor — rather than just selling and exiting? Yes, and the precedents span a wide range. Where on this spectrum the Bar Mills outcome lands is a matter for negotiation while the docket is open.</w:t>
      </w:r>
    </w:p>
    <w:p>
      <w:pPr>
        <w:spacing w:after="120"/>
      </w:pPr>
      <w:r>
        <w:rPr>
          <w:b/>
          <w:bCs/>
          <w:sz w:val="20"/>
          <w:szCs w:val="20"/>
        </w:rPr>
        <w:t xml:space="preserve">▸ Owner funds most of the removal (Klamath — the strongest example). </w:t>
      </w:r>
      <w:r>
        <w:rPr>
          <w:sz w:val="20"/>
          <w:szCs w:val="20"/>
        </w:rPr>
        <w:t xml:space="preserve">PacifiCorp (a Berkshire Hathaway Energy utility) contributed </w:t>
      </w:r>
      <w:r>
        <w:rPr>
          <w:b/>
          <w:bCs/>
          <w:sz w:val="20"/>
          <w:szCs w:val="20"/>
        </w:rPr>
        <w:t xml:space="preserve">$200 million</w:t>
      </w:r>
      <w:r>
        <w:rPr>
          <w:sz w:val="20"/>
          <w:szCs w:val="20"/>
        </w:rPr>
        <w:t xml:space="preserve"> toward the ~$450M four-dam removal — raised via a ratepayer surcharge collected over a decade and held in dedicated trust accounts — with California adding $250M from a water bond. PacifiCorp, California and Oregon also split a $45M cost-overrun contingency fund. Customers were protected by a hard </w:t>
      </w:r>
      <w:r>
        <w:rPr>
          <w:b/>
          <w:bCs/>
          <w:sz w:val="20"/>
          <w:szCs w:val="20"/>
        </w:rPr>
        <w:t xml:space="preserve">cost cap</w:t>
      </w:r>
      <w:r>
        <w:rPr>
          <w:sz w:val="20"/>
          <w:szCs w:val="20"/>
        </w:rPr>
        <w:t xml:space="preserve">: ratepayers bore no liability for overruns. The utility paid because removal was cheaper than the fish-passage upgrades relicensing would have required — the same economics Brookfield cites at Bar Mills and the Kennebec.</w:t>
      </w:r>
    </w:p>
    <w:p>
      <w:pPr>
        <w:spacing w:after="120"/>
      </w:pPr>
      <w:r>
        <w:rPr>
          <w:b/>
          <w:bCs/>
          <w:sz w:val="20"/>
          <w:szCs w:val="20"/>
        </w:rPr>
        <w:t xml:space="preserve">▸ A downstream beneficiary funds removal via mitigation (Edwards Dam, Kennebec, 1999). </w:t>
      </w:r>
      <w:r>
        <w:rPr>
          <w:sz w:val="20"/>
          <w:szCs w:val="20"/>
        </w:rPr>
        <w:t xml:space="preserve">After FERC ordered the Edwards Dam removed, much of the removal cost was paid by </w:t>
      </w:r>
      <w:r>
        <w:rPr>
          <w:b/>
          <w:bCs/>
          <w:sz w:val="20"/>
          <w:szCs w:val="20"/>
        </w:rPr>
        <w:t xml:space="preserve">Bath Iron Works</w:t>
      </w:r>
      <w:r>
        <w:rPr>
          <w:sz w:val="20"/>
          <w:szCs w:val="20"/>
        </w:rPr>
        <w:t xml:space="preserve"> — a downstream shipbuilder expanding into sturgeon habitat — which paid into the dam-removal settlement as environmental mitigation. A model where a third party with its own regulatory needs funds the work, sparing both the town and the dam owner.</w:t>
      </w:r>
    </w:p>
    <w:p>
      <w:pPr>
        <w:spacing w:after="120"/>
      </w:pPr>
      <w:r>
        <w:rPr>
          <w:b/>
          <w:bCs/>
          <w:sz w:val="20"/>
          <w:szCs w:val="20"/>
        </w:rPr>
        <w:t xml:space="preserve">▸ Buyer brings a capital reserve for the successor (Kennebec, 2025 — the live Brookfield deal). </w:t>
      </w:r>
      <w:r>
        <w:rPr>
          <w:sz w:val="20"/>
          <w:szCs w:val="20"/>
        </w:rPr>
        <w:t xml:space="preserve">TNC’s $168M purchase of Brookfield’s four Kennebec dams expressly includes “a capital reserve for the new restoration trust,” with a further ~$140M to be raised to operate and remove them. Here the buyer/successor is capitalized up front — though note Brookfield is the </w:t>
      </w:r>
      <w:r>
        <w:rPr>
          <w:i/>
          <w:iCs/>
          <w:sz w:val="20"/>
          <w:szCs w:val="20"/>
        </w:rPr>
        <w:t xml:space="preserve">seller receiving value</w:t>
      </w:r>
      <w:r>
        <w:rPr>
          <w:sz w:val="20"/>
          <w:szCs w:val="20"/>
        </w:rPr>
        <w:t xml:space="preserve">, not a contributor to removal; its commitment is to keep operating the dams during the multi-year transition.</w:t>
      </w:r>
    </w:p>
    <w:p>
      <w:pPr>
        <w:spacing w:after="120"/>
      </w:pPr>
      <w:r>
        <w:rPr>
          <w:b/>
          <w:bCs/>
          <w:sz w:val="20"/>
          <w:szCs w:val="20"/>
        </w:rPr>
        <w:t xml:space="preserve">▸ Owner pays nothing; the successor/public funds it (Penobscot). </w:t>
      </w:r>
      <w:r>
        <w:rPr>
          <w:sz w:val="20"/>
          <w:szCs w:val="20"/>
        </w:rPr>
        <w:t xml:space="preserve">At the other end, PPL was simply </w:t>
      </w:r>
      <w:r>
        <w:rPr>
          <w:b/>
          <w:bCs/>
          <w:sz w:val="20"/>
          <w:szCs w:val="20"/>
        </w:rPr>
        <w:t xml:space="preserve">paid ~$24M</w:t>
      </w:r>
      <w:r>
        <w:rPr>
          <w:sz w:val="20"/>
          <w:szCs w:val="20"/>
        </w:rPr>
        <w:t xml:space="preserve"> to sell; the Trust (largely federal money) funded removal. The owner contributed assets to the deal and fish-passage costs elsewhere, but no removal funding. This is the floor — and the one closest to what an unprotected Bar Mills transfer could resemble.</w:t>
      </w:r>
    </w:p>
    <w:p>
      <w:pPr>
        <w:spacing w:after="120"/>
      </w:pPr>
      <w:r>
        <w:rPr>
          <w:b/>
          <w:bCs/>
          <w:sz w:val="20"/>
          <w:szCs w:val="20"/>
        </w:rPr>
        <w:t xml:space="preserve">Takeaway for Hollis. </w:t>
      </w:r>
      <w:r>
        <w:rPr>
          <w:sz w:val="20"/>
          <w:szCs w:val="20"/>
        </w:rPr>
        <w:t xml:space="preserve">Owner contribution is </w:t>
      </w:r>
      <w:r>
        <w:rPr>
          <w:b/>
          <w:bCs/>
          <w:sz w:val="20"/>
          <w:szCs w:val="20"/>
        </w:rPr>
        <w:t xml:space="preserve">precedented and negotiable</w:t>
      </w:r>
      <w:r>
        <w:rPr>
          <w:sz w:val="20"/>
          <w:szCs w:val="20"/>
        </w:rPr>
        <w:t xml:space="preserve">, not unheard-of. The strongest protections combine (1) an owner/parent funding contribution or surety sized to a registered engineer’s make-safe/removal estimate, (2) a hard cost cap or indemnity shielding the town from overruns, and (3) transfer of the obligation only to a pre-funded successor. The leverage to obtain these exists only while Brookfield needs FERC’s surrender approval — i.e., before the surrender order issues.</w:t>
      </w:r>
    </w:p>
    <w:p>
      <w:pPr>
        <w:spacing w:after="120"/>
      </w:pPr>
      <w:r>
        <w:rPr>
          <w:b/>
          <w:bCs/>
          <w:color w:val="8A6D1F"/>
          <w:sz w:val="20"/>
          <w:szCs w:val="20"/>
        </w:rPr>
        <w:t xml:space="preserve">Honesty caveat: </w:t>
      </w:r>
      <w:r>
        <w:rPr>
          <w:sz w:val="19"/>
          <w:szCs w:val="19"/>
        </w:rPr>
        <w:t xml:space="preserve">this list is built from Brookfield’s project websites, the Federal Register, FERC court-case pages, and Maine news coverage — not from a complete docket-by-docket sweep of FERC eLibrary, which my tools can’t fully query. It captures the prominent, publicly reported Maine cases; there may be smaller surrenders (e.g. minor exemptions or sub-1-MW projects) elsewhere in Brookfield’s ~38-dam Maine fleet or other states that aren’t surfaced here. A definitive list would require a direct FERC eLibrary search on each Brookfield licensee entity (Brookfield White Pine Hydro, Black Bear Hydro Partners, Merimil, Hydro Kennebec, Erie Boulevard Hydropower, and others).</w:t>
      </w:r>
    </w:p>
    <w:p>
      <w:pPr>
        <w:pStyle w:val="Heading1"/>
      </w:pPr>
      <w:r>
        <w:t xml:space="preserve">Confirmation status</w:t>
      </w:r>
    </w:p>
    <w:p>
      <w:pPr>
        <w:spacing w:after="120"/>
      </w:pPr>
      <w:r>
        <w:rPr>
          <w:sz w:val="19"/>
          <w:szCs w:val="19"/>
        </w:rPr>
        <w:t xml:space="preserve">Hydro identifications (Smoky Mountain) are confirmed across buyer, offtaker, lender and Brookfield-fund sources. Wind locations for 2015, 2021 and Shepherds Flat are confirmed. “Not disclosed / not identified” entries reflect genuine absence of public detail. The FERC decommissioning cases are confirmed as reported but the list is not guaranteed exhaustive (see caveat above).</w:t>
      </w:r>
    </w:p>
    <w:p>
      <w:pPr>
        <w:spacing w:before="200"/>
      </w:pPr>
      <w:r>
        <w:rPr>
          <w:i/>
          <w:iCs/>
          <w:color w:val="595959"/>
          <w:sz w:val="15"/>
          <w:szCs w:val="15"/>
        </w:rPr>
        <w:t xml:space="preserve">Sources: Brookfield Renewable / BEPC annual reports and Form 6-K interim reports 2015–2025 (SEC EDGAR; bep.brookfield.com); NextEra Energy Partners, Argo Infrastructure Partners, TVA and Brookfield Infrastructure Income Fund disclosures; trade press (Renewables Now, IPE Real Assets, Daily Energy Insider); FERC (federalregister.gov, ferc.gov, MBR/eTariff guidance, court-case pages) and the Bar Mills project site (barmills.brookfieldusprojects.com — FAQ, Draft/Final Study Plans, FERC No. 2194); comparative cases from Bridge Michigan, Detroit News, CBS Detroit, 9&amp;10 News and Interlochen/WCMU Public Radio (Cheboygan); Michigan Advance, ABC12 and Michigan AG (Boyce/Edenville); Bridge Michigan, WWMT, WMUK and Michigan AG (Morrow Dam / Eagle Creek $25M settlement); American Rivers Practitioner’s Guide to Hydropower Dam Removal, Michigan AG filings (Morrow Dam), The Nature Conservancy and Central Maine / Bangor Daily News (Kennebec sale), HRBRRD (Conklingville / E.J. West); stakeholder-mechanism precedents from National Hydropower Association (Klamath co-licensee, Marseilles bond/LOC), FERC RM21-9 financial-assurance docket (NOI, staff presentation, technical conference notice, Federal Register), National Hydropower Association and National Law Review (reopener article and Danly dissent), American Whitewater v. FERC (Aclara/Somersworth, D.C. Cir. 2025), Penobscot River Restoration Trust, Colorado Environmental Law Journal (trust-fund analysis), and Maine DEP / Press Herald (Bucksport dam-abandonment); owner-funding precedents from Oregon CUB, ASCE, KRRC and ORS 757.736 (Klamath ratepayer fund / cost cap), The Revelator and NRCM (Edwards Dam / Bath Iron Works mitigation), and Maine Public / TNC (Kennebec capital reserve); plus Maine municipal and news sources (Town of Hollis, Town of Buxton, Ellsworth American, Mainebiz, Portland Press Herald, NewsCenter Maine). Informational summary, not legal or investment advice.</w:t>
      </w:r>
    </w:p>
    <w:sectPr>
      <w:pgSz w:w="15840" w:h="12240" w:orient="landscape"/>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Arial" w:cs="Arial" w:eastAsia="Arial" w:hAnsi="Arial"/>
      <w:b/>
      <w:bCs/>
      <w:color w:val="1F6F54"/>
      <w:sz w:val="28"/>
      <w:szCs w:val="28"/>
    </w:rPr>
  </w:style>
  <w:style w:type="paragraph" w:styleId="Heading2">
    <w:name w:val="Heading 2"/>
    <w:basedOn w:val="Normal"/>
    <w:next w:val="Normal"/>
    <w:qFormat/>
    <w:pPr>
      <w:pBdr>
        <w:bottom w:val="single" w:color="1F6F54" w:sz="4" w:space="4"/>
      </w:pBdr>
      <w:spacing w:after="100" w:before="200"/>
      <w:outlineLvl w:val="1"/>
    </w:pPr>
    <w:rPr>
      <w:rFonts w:ascii="Arial" w:cs="Arial" w:eastAsia="Arial" w:hAnsi="Arial"/>
      <w:b/>
      <w:bCs/>
      <w:color w:val="1A1A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2026-06-25T16:51:52.493Z</dcterms:created>
  <dcterms:modified xsi:type="dcterms:W3CDTF">2026-06-25T16:51:52.494Z</dcterms:modified>
</cp:coreProperties>
</file>

<file path=docProps/custom.xml><?xml version="1.0" encoding="utf-8"?>
<Properties xmlns="http://schemas.openxmlformats.org/officeDocument/2006/custom-properties" xmlns:vt="http://schemas.openxmlformats.org/officeDocument/2006/docPropsVTypes"/>
</file>